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600" w:beforeAutospacing="0" w:after="0" w:afterAutospacing="0"/>
        <w:jc w:val="center"/>
        <w:textAlignment w:val="baseline"/>
        <w:rPr>
          <w:u w:val="none"/>
        </w:rPr>
      </w:pPr>
      <w:r>
        <w:rPr>
          <w:rStyle w:val="45"/>
          <w:b/>
          <w:bCs/>
          <w:color w:val="000000"/>
          <w:sz w:val="28"/>
          <w:szCs w:val="28"/>
          <w:u w:val="none"/>
          <w:shd w:val="clear" w:fill="auto"/>
        </w:rPr>
        <w:t>EDITAL</w:t>
      </w:r>
      <w:r>
        <w:rPr>
          <w:rStyle w:val="45"/>
          <w:b/>
          <w:bCs/>
          <w:color w:val="000000"/>
          <w:sz w:val="28"/>
          <w:szCs w:val="28"/>
          <w:u w:val="none"/>
          <w:shd w:val="clear" w:fill="auto"/>
        </w:rPr>
        <w:br w:type="textWrapping"/>
      </w:r>
      <w:r>
        <w:rPr>
          <w:rStyle w:val="45"/>
          <w:b/>
          <w:bCs/>
          <w:color w:val="000000"/>
          <w:sz w:val="28"/>
          <w:szCs w:val="28"/>
          <w:u w:val="none"/>
          <w:shd w:val="clear" w:fill="auto"/>
        </w:rPr>
        <w:t>PREGÃO Nº 004</w:t>
      </w:r>
      <w:r>
        <w:rPr>
          <w:rStyle w:val="45"/>
          <w:rFonts w:hint="default"/>
          <w:b/>
          <w:bCs/>
          <w:color w:val="000000"/>
          <w:sz w:val="28"/>
          <w:szCs w:val="28"/>
          <w:u w:val="none"/>
          <w:shd w:val="clear" w:fill="auto"/>
          <w:lang w:val="pt-BR"/>
        </w:rPr>
        <w:t>/</w:t>
      </w:r>
      <w:r>
        <w:rPr>
          <w:rStyle w:val="45"/>
          <w:b/>
          <w:bCs/>
          <w:color w:val="000000"/>
          <w:sz w:val="28"/>
          <w:szCs w:val="28"/>
          <w:u w:val="none"/>
          <w:shd w:val="clear" w:fill="auto"/>
        </w:rPr>
        <w:t>2024</w:t>
      </w:r>
    </w:p>
    <w:p>
      <w:pPr>
        <w:pStyle w:val="3"/>
        <w:spacing w:before="0" w:beforeAutospacing="0" w:after="600" w:afterAutospacing="0"/>
        <w:jc w:val="center"/>
        <w:textAlignment w:val="baseline"/>
        <w:rPr>
          <w:u w:val="none"/>
        </w:rPr>
      </w:pPr>
      <w:r>
        <w:rPr>
          <w:rStyle w:val="45"/>
          <w:b/>
          <w:bCs/>
          <w:color w:val="000000"/>
          <w:sz w:val="28"/>
          <w:szCs w:val="28"/>
          <w:u w:val="none"/>
          <w:shd w:val="clear" w:fill="auto"/>
        </w:rPr>
        <w:t>PROCESSO ADMINISTRATIVO</w:t>
      </w:r>
      <w:r>
        <w:rPr>
          <w:rStyle w:val="45"/>
          <w:rFonts w:hint="default"/>
          <w:b/>
          <w:bCs/>
          <w:color w:val="000000"/>
          <w:sz w:val="28"/>
          <w:szCs w:val="28"/>
          <w:u w:val="none"/>
          <w:shd w:val="clear" w:fill="auto"/>
          <w:lang w:val="pt-BR"/>
        </w:rPr>
        <w:t xml:space="preserve"> Nº</w:t>
      </w:r>
      <w:r>
        <w:rPr>
          <w:rStyle w:val="45"/>
          <w:b/>
          <w:bCs/>
          <w:color w:val="000000"/>
          <w:sz w:val="28"/>
          <w:szCs w:val="28"/>
          <w:u w:val="none"/>
          <w:shd w:val="clear" w:fill="auto"/>
        </w:rPr>
        <w:t xml:space="preserve"> 007</w:t>
      </w:r>
      <w:r>
        <w:rPr>
          <w:rStyle w:val="45"/>
          <w:rFonts w:hint="default"/>
          <w:b/>
          <w:bCs/>
          <w:color w:val="000000"/>
          <w:sz w:val="28"/>
          <w:szCs w:val="28"/>
          <w:u w:val="none"/>
          <w:shd w:val="clear" w:fill="auto"/>
          <w:lang w:val="pt-BR"/>
        </w:rPr>
        <w:t>/</w:t>
      </w:r>
      <w:r>
        <w:rPr>
          <w:rStyle w:val="45"/>
          <w:b/>
          <w:bCs/>
          <w:color w:val="000000"/>
          <w:sz w:val="28"/>
          <w:szCs w:val="28"/>
          <w:u w:val="none"/>
          <w:shd w:val="clear" w:fill="auto"/>
        </w:rPr>
        <w:t>2024</w:t>
      </w:r>
    </w:p>
    <w:tbl>
      <w:tblPr>
        <w:tblStyle w:val="178"/>
        <w:tblW w:w="9125" w:type="dxa"/>
        <w:tblInd w:w="0" w:type="dxa"/>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Layout w:type="fixed"/>
        <w:tblCellMar>
          <w:top w:w="0" w:type="dxa"/>
          <w:left w:w="108" w:type="dxa"/>
          <w:bottom w:w="0" w:type="dxa"/>
          <w:right w:w="108" w:type="dxa"/>
        </w:tblCellMar>
      </w:tblPr>
      <w:tblGrid>
        <w:gridCol w:w="2259"/>
        <w:gridCol w:w="1703"/>
        <w:gridCol w:w="136"/>
        <w:gridCol w:w="2607"/>
        <w:gridCol w:w="73"/>
        <w:gridCol w:w="2294"/>
        <w:gridCol w:w="53"/>
      </w:tblGrid>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6"/>
          </w:tcPr>
          <w:p>
            <w:pPr>
              <w:pStyle w:val="3"/>
              <w:widowControl/>
              <w:suppressAutoHyphens/>
              <w:spacing w:before="120" w:beforeAutospacing="0" w:after="120" w:afterAutospacing="0"/>
              <w:jc w:val="center"/>
              <w:textAlignment w:val="baseline"/>
              <w:rPr>
                <w:b/>
                <w:bCs/>
                <w:sz w:val="22"/>
                <w:szCs w:val="22"/>
              </w:rPr>
            </w:pPr>
            <w:r>
              <w:rPr>
                <w:rStyle w:val="45"/>
                <w:b/>
                <w:bCs/>
                <w:color w:val="000000"/>
                <w:kern w:val="0"/>
                <w:sz w:val="22"/>
                <w:szCs w:val="22"/>
                <w:u w:val="none"/>
                <w:lang w:val="pt-BR" w:bidi="ar-SA"/>
              </w:rPr>
              <w:t>Resumo do Certame Licitatório</w:t>
            </w:r>
          </w:p>
        </w:tc>
        <w:tc>
          <w:tcPr>
            <w:tcW w:w="53" w:type="dxa"/>
            <w:tcBorders>
              <w:top w:val="nil"/>
              <w:bottom w:val="nil"/>
            </w:tcBorders>
          </w:tcPr>
          <w:p>
            <w:pPr>
              <w:widowControl/>
              <w:suppressAutoHyphens/>
              <w:spacing w:before="0" w:after="0" w:line="240" w:lineRule="auto"/>
              <w:jc w:val="left"/>
              <w:rPr>
                <w:rFonts w:ascii="Times New Roman" w:hAnsi="Times New Roman" w:eastAsia="Calibri"/>
                <w:b/>
                <w:bCs/>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6778" w:type="dxa"/>
            <w:gridSpan w:val="5"/>
            <w:shd w:val="clear" w:color="auto" w:fill="DDDDDD"/>
          </w:tcPr>
          <w:p>
            <w:pPr>
              <w:pStyle w:val="3"/>
              <w:widowControl/>
              <w:suppressAutoHyphens/>
              <w:spacing w:before="0" w:beforeAutospacing="0" w:after="0" w:afterAutospacing="0"/>
              <w:jc w:val="left"/>
              <w:textAlignment w:val="baseline"/>
              <w:rPr>
                <w:b/>
                <w:bCs/>
                <w:sz w:val="22"/>
                <w:szCs w:val="22"/>
                <w:shd w:val="clear" w:color="auto" w:fill="auto"/>
              </w:rPr>
            </w:pPr>
            <w:r>
              <w:rPr>
                <w:rStyle w:val="45"/>
                <w:b w:val="0"/>
                <w:bCs w:val="0"/>
                <w:color w:val="000000"/>
                <w:kern w:val="0"/>
                <w:sz w:val="22"/>
                <w:szCs w:val="22"/>
                <w:shd w:val="clear" w:color="auto" w:fill="auto"/>
                <w:lang w:val="pt-BR" w:bidi="ar-SA"/>
              </w:rPr>
              <w:t>Órgão Gerenciador:</w:t>
            </w:r>
          </w:p>
          <w:p>
            <w:pPr>
              <w:pStyle w:val="3"/>
              <w:widowControl/>
              <w:suppressAutoHyphens/>
              <w:spacing w:before="0" w:beforeAutospacing="0" w:after="0" w:afterAutospacing="0"/>
              <w:jc w:val="left"/>
              <w:textAlignment w:val="baseline"/>
              <w:rPr>
                <w:b/>
                <w:bCs/>
                <w:sz w:val="22"/>
                <w:szCs w:val="22"/>
                <w:shd w:val="clear" w:color="auto" w:fill="auto"/>
              </w:rPr>
            </w:pPr>
            <w:r>
              <w:rPr>
                <w:rStyle w:val="45"/>
                <w:b/>
                <w:bCs/>
                <w:kern w:val="0"/>
                <w:sz w:val="22"/>
                <w:szCs w:val="22"/>
                <w:shd w:val="clear" w:color="auto" w:fill="auto"/>
                <w:lang w:val="pt-BR" w:bidi="ar-SA"/>
              </w:rPr>
              <w:t>Câmara Municipal de Primavera do Leste - MT</w:t>
            </w:r>
          </w:p>
        </w:tc>
        <w:tc>
          <w:tcPr>
            <w:tcW w:w="2347" w:type="dxa"/>
            <w:gridSpan w:val="2"/>
            <w:shd w:val="clear" w:color="auto" w:fill="DDDDDD"/>
          </w:tcPr>
          <w:p>
            <w:pPr>
              <w:pStyle w:val="3"/>
              <w:widowControl/>
              <w:suppressAutoHyphens/>
              <w:spacing w:before="0" w:beforeAutospacing="0" w:after="0" w:afterAutospacing="0"/>
              <w:jc w:val="left"/>
              <w:textAlignment w:val="baseline"/>
              <w:rPr>
                <w:sz w:val="22"/>
                <w:szCs w:val="22"/>
                <w:shd w:val="clear" w:color="auto" w:fill="auto"/>
              </w:rPr>
            </w:pPr>
            <w:r>
              <w:rPr>
                <w:rStyle w:val="45"/>
                <w:color w:val="000000" w:themeColor="text1"/>
                <w:kern w:val="0"/>
                <w:sz w:val="22"/>
                <w:szCs w:val="22"/>
                <w:shd w:val="clear" w:color="auto" w:fill="auto"/>
                <w:lang w:val="pt-BR" w:bidi="ar-SA"/>
              </w:rPr>
              <w:t>CNPJ:</w:t>
            </w:r>
          </w:p>
          <w:p>
            <w:pPr>
              <w:pStyle w:val="3"/>
              <w:widowControl/>
              <w:suppressAutoHyphens/>
              <w:spacing w:before="0" w:beforeAutospacing="0" w:after="0" w:afterAutospacing="0"/>
              <w:jc w:val="left"/>
              <w:textAlignment w:val="baseline"/>
              <w:rPr>
                <w:sz w:val="22"/>
                <w:szCs w:val="22"/>
                <w:shd w:val="clear" w:color="auto" w:fill="auto"/>
              </w:rPr>
            </w:pPr>
            <w:r>
              <w:rPr>
                <w:rStyle w:val="45"/>
                <w:b/>
                <w:bCs/>
                <w:color w:val="000000"/>
                <w:kern w:val="0"/>
                <w:sz w:val="22"/>
                <w:szCs w:val="22"/>
                <w:u w:val="none"/>
                <w:shd w:val="clear" w:color="auto" w:fill="auto"/>
                <w:lang w:val="pt-BR"/>
              </w:rPr>
              <w:t>24.672.727/0001-83</w:t>
            </w: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tcPr>
          <w:p>
            <w:pPr>
              <w:pStyle w:val="3"/>
              <w:widowControl/>
              <w:suppressAutoHyphens/>
              <w:spacing w:before="0" w:beforeAutospacing="0" w:after="0" w:afterAutospacing="0"/>
              <w:jc w:val="left"/>
              <w:textAlignment w:val="baseline"/>
              <w:rPr>
                <w:b/>
                <w:bCs/>
                <w:sz w:val="22"/>
                <w:szCs w:val="22"/>
                <w:shd w:val="clear" w:color="auto" w:fill="auto"/>
              </w:rPr>
            </w:pPr>
            <w:r>
              <w:rPr>
                <w:rStyle w:val="45"/>
                <w:b w:val="0"/>
                <w:bCs w:val="0"/>
                <w:color w:val="000000"/>
                <w:kern w:val="0"/>
                <w:sz w:val="22"/>
                <w:szCs w:val="22"/>
                <w:shd w:val="clear" w:color="auto" w:fill="auto"/>
                <w:lang w:val="pt-BR" w:bidi="ar-SA"/>
              </w:rPr>
              <w:t>Modalidade:</w:t>
            </w:r>
          </w:p>
          <w:p>
            <w:pPr>
              <w:pStyle w:val="3"/>
              <w:widowControl/>
              <w:suppressAutoHyphens/>
              <w:spacing w:before="0" w:beforeAutospacing="0" w:after="0" w:afterAutospacing="0"/>
              <w:jc w:val="left"/>
              <w:textAlignment w:val="baseline"/>
              <w:rPr>
                <w:b/>
                <w:bCs/>
                <w:sz w:val="22"/>
                <w:szCs w:val="22"/>
                <w:shd w:val="clear" w:color="auto" w:fill="auto"/>
              </w:rPr>
            </w:pPr>
            <w:r>
              <w:rPr>
                <w:rStyle w:val="45"/>
                <w:b/>
                <w:bCs/>
                <w:color w:val="000000"/>
                <w:kern w:val="0"/>
                <w:sz w:val="22"/>
                <w:szCs w:val="22"/>
                <w:shd w:val="clear" w:color="auto" w:fill="auto"/>
                <w:lang w:val="pt-BR" w:bidi="ar-SA"/>
              </w:rPr>
              <w:t>Pregão</w:t>
            </w:r>
          </w:p>
        </w:tc>
        <w:tc>
          <w:tcPr>
            <w:tcW w:w="1703" w:type="dxa"/>
          </w:tcPr>
          <w:p>
            <w:pPr>
              <w:pStyle w:val="3"/>
              <w:widowControl/>
              <w:suppressAutoHyphens/>
              <w:spacing w:before="0" w:beforeAutospacing="0" w:after="0" w:afterAutospacing="0"/>
              <w:jc w:val="left"/>
              <w:textAlignment w:val="baseline"/>
              <w:rPr>
                <w:sz w:val="22"/>
                <w:szCs w:val="22"/>
                <w:shd w:val="clear" w:color="auto" w:fill="auto"/>
              </w:rPr>
            </w:pPr>
            <w:r>
              <w:rPr>
                <w:rStyle w:val="45"/>
                <w:color w:val="000000"/>
                <w:kern w:val="0"/>
                <w:sz w:val="22"/>
                <w:szCs w:val="22"/>
                <w:shd w:val="clear" w:color="auto" w:fill="auto"/>
                <w:lang w:val="pt-BR" w:bidi="ar-SA"/>
              </w:rPr>
              <w:t>Forma:</w:t>
            </w:r>
          </w:p>
          <w:p>
            <w:pPr>
              <w:pStyle w:val="3"/>
              <w:widowControl/>
              <w:suppressAutoHyphens/>
              <w:spacing w:before="0" w:beforeAutospacing="0" w:after="0" w:afterAutospacing="0"/>
              <w:jc w:val="left"/>
              <w:textAlignment w:val="baseline"/>
              <w:rPr>
                <w:sz w:val="22"/>
                <w:szCs w:val="22"/>
                <w:shd w:val="clear" w:color="auto" w:fill="auto"/>
              </w:rPr>
            </w:pPr>
            <w:r>
              <w:rPr>
                <w:rStyle w:val="45"/>
                <w:b/>
                <w:bCs/>
                <w:color w:val="000000"/>
                <w:kern w:val="0"/>
                <w:sz w:val="22"/>
                <w:szCs w:val="22"/>
                <w:shd w:val="clear" w:color="auto" w:fill="auto"/>
                <w:lang w:val="pt-BR" w:bidi="ar-SA"/>
              </w:rPr>
              <w:t>Eletrônica</w:t>
            </w:r>
          </w:p>
        </w:tc>
        <w:tc>
          <w:tcPr>
            <w:tcW w:w="2743" w:type="dxa"/>
            <w:gridSpan w:val="2"/>
          </w:tcPr>
          <w:p>
            <w:pPr>
              <w:pStyle w:val="3"/>
              <w:widowControl/>
              <w:suppressAutoHyphens/>
              <w:spacing w:before="0" w:beforeAutospacing="0" w:after="0" w:afterAutospacing="0"/>
              <w:jc w:val="left"/>
              <w:textAlignment w:val="baseline"/>
              <w:rPr>
                <w:sz w:val="22"/>
                <w:szCs w:val="22"/>
                <w:shd w:val="clear" w:color="auto" w:fill="auto"/>
              </w:rPr>
            </w:pPr>
            <w:r>
              <w:rPr>
                <w:rStyle w:val="47"/>
                <w:color w:val="000000"/>
                <w:kern w:val="0"/>
                <w:sz w:val="22"/>
                <w:szCs w:val="22"/>
                <w:shd w:val="clear" w:color="auto" w:fill="auto"/>
                <w:lang w:val="pt-BR" w:bidi="ar-SA"/>
              </w:rPr>
              <w:t>Modo de Disputa:</w:t>
            </w:r>
          </w:p>
          <w:p>
            <w:pPr>
              <w:pStyle w:val="3"/>
              <w:widowControl/>
              <w:suppressAutoHyphens/>
              <w:spacing w:before="0" w:beforeAutospacing="0" w:after="0" w:afterAutospacing="0"/>
              <w:jc w:val="left"/>
              <w:textAlignment w:val="baseline"/>
              <w:rPr>
                <w:sz w:val="22"/>
                <w:szCs w:val="22"/>
                <w:shd w:val="clear" w:color="auto" w:fill="auto"/>
              </w:rPr>
            </w:pPr>
            <w:r>
              <w:rPr>
                <w:rStyle w:val="47"/>
                <w:b/>
                <w:bCs/>
                <w:color w:val="000000"/>
                <w:kern w:val="0"/>
                <w:sz w:val="22"/>
                <w:szCs w:val="22"/>
                <w:shd w:val="clear" w:color="auto" w:fill="auto"/>
                <w:lang w:val="pt-BR" w:bidi="ar-SA"/>
              </w:rPr>
              <w:t>Aberto</w:t>
            </w:r>
          </w:p>
        </w:tc>
        <w:tc>
          <w:tcPr>
            <w:tcW w:w="2367" w:type="dxa"/>
            <w:gridSpan w:val="2"/>
          </w:tcPr>
          <w:p>
            <w:pPr>
              <w:pStyle w:val="3"/>
              <w:widowControl/>
              <w:suppressAutoHyphens/>
              <w:spacing w:before="0" w:beforeAutospacing="0" w:after="0" w:afterAutospacing="0"/>
              <w:jc w:val="left"/>
              <w:textAlignment w:val="baseline"/>
              <w:rPr>
                <w:sz w:val="22"/>
                <w:szCs w:val="22"/>
                <w:shd w:val="clear" w:color="auto" w:fill="auto"/>
              </w:rPr>
            </w:pPr>
            <w:r>
              <w:rPr>
                <w:rStyle w:val="45"/>
                <w:color w:val="000000" w:themeColor="text1"/>
                <w:kern w:val="0"/>
                <w:sz w:val="22"/>
                <w:szCs w:val="22"/>
                <w:shd w:val="clear" w:color="auto" w:fill="auto"/>
                <w:lang w:val="pt-BR" w:bidi="ar-SA"/>
              </w:rPr>
              <w:t>Critério de Julgamento:</w:t>
            </w:r>
          </w:p>
          <w:p>
            <w:pPr>
              <w:pStyle w:val="3"/>
              <w:widowControl/>
              <w:suppressAutoHyphens/>
              <w:spacing w:before="0" w:beforeAutospacing="0" w:after="0" w:afterAutospacing="0"/>
              <w:jc w:val="left"/>
              <w:textAlignment w:val="baseline"/>
              <w:rPr>
                <w:sz w:val="22"/>
                <w:szCs w:val="22"/>
                <w:shd w:val="clear" w:color="auto" w:fill="auto"/>
              </w:rPr>
            </w:pPr>
            <w:r>
              <w:rPr>
                <w:rStyle w:val="45"/>
                <w:b/>
                <w:bCs/>
                <w:color w:val="000000" w:themeColor="text1"/>
                <w:kern w:val="0"/>
                <w:sz w:val="22"/>
                <w:szCs w:val="22"/>
                <w:shd w:val="clear" w:color="auto" w:fill="auto"/>
                <w:lang w:val="pt-BR" w:bidi="ar-SA"/>
              </w:rPr>
              <w:t>Menor Preço por Lote</w:t>
            </w:r>
          </w:p>
        </w:tc>
        <w:tc>
          <w:tcPr>
            <w:tcW w:w="53" w:type="dxa"/>
            <w:tcBorders>
              <w:top w:val="nil"/>
              <w:bottom w:val="nil"/>
            </w:tcBorders>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shd w:val="clear" w:color="auto" w:fill="DDDDDD"/>
          </w:tcPr>
          <w:p>
            <w:pPr>
              <w:pStyle w:val="3"/>
              <w:widowControl/>
              <w:suppressAutoHyphens/>
              <w:spacing w:before="0" w:beforeAutospacing="0" w:after="0" w:afterAutospacing="0"/>
              <w:jc w:val="left"/>
              <w:textAlignment w:val="baseline"/>
              <w:rPr>
                <w:b/>
                <w:bCs/>
                <w:sz w:val="22"/>
                <w:szCs w:val="22"/>
                <w:shd w:val="clear" w:color="auto" w:fill="auto"/>
              </w:rPr>
            </w:pPr>
            <w:r>
              <w:rPr>
                <w:rStyle w:val="45"/>
                <w:b w:val="0"/>
                <w:bCs w:val="0"/>
                <w:color w:val="000000" w:themeColor="text1"/>
                <w:kern w:val="0"/>
                <w:sz w:val="22"/>
                <w:szCs w:val="22"/>
                <w:shd w:val="clear" w:color="auto" w:fill="auto"/>
                <w:lang w:val="pt-BR" w:bidi="ar-SA"/>
              </w:rPr>
              <w:t>Data:</w:t>
            </w:r>
          </w:p>
          <w:p>
            <w:pPr>
              <w:pStyle w:val="3"/>
              <w:widowControl/>
              <w:suppressAutoHyphens/>
              <w:spacing w:before="0" w:beforeAutospacing="0" w:after="0" w:afterAutospacing="0"/>
              <w:jc w:val="left"/>
              <w:textAlignment w:val="baseline"/>
              <w:rPr>
                <w:b/>
                <w:bCs/>
                <w:sz w:val="22"/>
                <w:szCs w:val="22"/>
                <w:shd w:val="clear" w:color="auto" w:fill="auto"/>
              </w:rPr>
            </w:pPr>
            <w:r>
              <w:rPr>
                <w:rStyle w:val="45"/>
                <w:rFonts w:hint="default"/>
                <w:b/>
                <w:bCs/>
                <w:color w:val="000000" w:themeColor="text1"/>
                <w:kern w:val="0"/>
                <w:sz w:val="22"/>
                <w:szCs w:val="22"/>
                <w:shd w:val="clear" w:color="auto" w:fill="auto"/>
                <w:lang w:val="pt-BR" w:bidi="ar-SA"/>
              </w:rPr>
              <w:t>19/04</w:t>
            </w:r>
            <w:r>
              <w:rPr>
                <w:rStyle w:val="45"/>
                <w:b/>
                <w:bCs/>
                <w:color w:val="000000" w:themeColor="text1"/>
                <w:kern w:val="0"/>
                <w:sz w:val="22"/>
                <w:szCs w:val="22"/>
                <w:shd w:val="clear" w:color="auto" w:fill="auto"/>
                <w:lang w:val="pt-BR" w:bidi="ar-SA"/>
              </w:rPr>
              <w:t>/2024</w:t>
            </w:r>
          </w:p>
        </w:tc>
        <w:tc>
          <w:tcPr>
            <w:tcW w:w="1839" w:type="dxa"/>
            <w:gridSpan w:val="2"/>
            <w:shd w:val="clear" w:color="auto" w:fill="DDDDDD"/>
          </w:tcPr>
          <w:p>
            <w:pPr>
              <w:pStyle w:val="3"/>
              <w:widowControl/>
              <w:suppressAutoHyphens/>
              <w:spacing w:before="0" w:beforeAutospacing="0" w:after="0" w:afterAutospacing="0"/>
              <w:jc w:val="left"/>
              <w:textAlignment w:val="baseline"/>
              <w:rPr>
                <w:sz w:val="22"/>
                <w:szCs w:val="22"/>
                <w:shd w:val="clear" w:color="auto" w:fill="auto"/>
              </w:rPr>
            </w:pPr>
            <w:r>
              <w:rPr>
                <w:rStyle w:val="45"/>
                <w:color w:val="000000" w:themeColor="text1"/>
                <w:kern w:val="0"/>
                <w:sz w:val="22"/>
                <w:szCs w:val="22"/>
                <w:shd w:val="clear" w:color="auto" w:fill="auto"/>
                <w:lang w:val="pt-BR" w:bidi="ar-SA"/>
              </w:rPr>
              <w:t>Horário:</w:t>
            </w:r>
          </w:p>
          <w:p>
            <w:pPr>
              <w:pStyle w:val="3"/>
              <w:widowControl/>
              <w:suppressAutoHyphens/>
              <w:spacing w:before="0" w:beforeAutospacing="0" w:after="0" w:afterAutospacing="0"/>
              <w:jc w:val="left"/>
              <w:textAlignment w:val="baseline"/>
              <w:rPr>
                <w:rFonts w:hint="default"/>
                <w:sz w:val="22"/>
                <w:szCs w:val="22"/>
                <w:shd w:val="clear" w:color="auto" w:fill="auto"/>
                <w:lang w:val="pt-BR"/>
              </w:rPr>
            </w:pPr>
            <w:r>
              <w:rPr>
                <w:rStyle w:val="45"/>
                <w:rFonts w:hint="default"/>
                <w:b/>
                <w:bCs/>
                <w:color w:val="000000" w:themeColor="text1"/>
                <w:kern w:val="0"/>
                <w:sz w:val="22"/>
                <w:szCs w:val="22"/>
                <w:shd w:val="clear" w:color="auto" w:fill="auto"/>
                <w:lang w:val="pt-BR" w:bidi="ar-SA"/>
              </w:rPr>
              <w:t>09</w:t>
            </w:r>
            <w:r>
              <w:rPr>
                <w:rStyle w:val="45"/>
                <w:b/>
                <w:bCs/>
                <w:color w:val="000000" w:themeColor="text1"/>
                <w:kern w:val="0"/>
                <w:sz w:val="22"/>
                <w:szCs w:val="22"/>
                <w:shd w:val="clear" w:color="auto" w:fill="auto"/>
                <w:lang w:val="pt-BR" w:bidi="ar-SA"/>
              </w:rPr>
              <w:t>h</w:t>
            </w:r>
            <w:r>
              <w:rPr>
                <w:rStyle w:val="45"/>
                <w:rFonts w:hint="default"/>
                <w:b/>
                <w:bCs/>
                <w:color w:val="000000" w:themeColor="text1"/>
                <w:kern w:val="0"/>
                <w:sz w:val="22"/>
                <w:szCs w:val="22"/>
                <w:shd w:val="clear" w:color="auto" w:fill="auto"/>
                <w:lang w:val="pt-BR" w:bidi="ar-SA"/>
              </w:rPr>
              <w:t>00</w:t>
            </w:r>
            <w:r>
              <w:rPr>
                <w:rStyle w:val="45"/>
                <w:b/>
                <w:bCs/>
                <w:color w:val="000000" w:themeColor="text1"/>
                <w:kern w:val="0"/>
                <w:sz w:val="22"/>
                <w:szCs w:val="22"/>
                <w:shd w:val="clear" w:color="auto" w:fill="auto"/>
                <w:lang w:val="pt-BR" w:bidi="ar-SA"/>
              </w:rPr>
              <w:t>min</w:t>
            </w:r>
            <w:r>
              <w:rPr>
                <w:rStyle w:val="45"/>
                <w:rFonts w:hint="default"/>
                <w:b/>
                <w:bCs/>
                <w:color w:val="000000" w:themeColor="text1"/>
                <w:kern w:val="0"/>
                <w:sz w:val="22"/>
                <w:szCs w:val="22"/>
                <w:shd w:val="clear" w:color="auto" w:fill="auto"/>
                <w:lang w:val="pt-BR" w:bidi="ar-SA"/>
              </w:rPr>
              <w:t xml:space="preserve"> Horário de Brasília</w:t>
            </w:r>
          </w:p>
        </w:tc>
        <w:tc>
          <w:tcPr>
            <w:tcW w:w="5027" w:type="dxa"/>
            <w:gridSpan w:val="4"/>
            <w:shd w:val="clear" w:color="auto" w:fill="DDDDDD"/>
          </w:tcPr>
          <w:p>
            <w:pPr>
              <w:pStyle w:val="3"/>
              <w:widowControl/>
              <w:suppressAutoHyphens/>
              <w:spacing w:before="0" w:beforeAutospacing="0" w:after="0" w:afterAutospacing="0"/>
              <w:jc w:val="left"/>
              <w:textAlignment w:val="baseline"/>
              <w:rPr>
                <w:sz w:val="22"/>
                <w:szCs w:val="22"/>
                <w:shd w:val="clear" w:color="auto" w:fill="auto"/>
              </w:rPr>
            </w:pPr>
            <w:r>
              <w:rPr>
                <w:rStyle w:val="45"/>
                <w:color w:val="000000" w:themeColor="text1"/>
                <w:kern w:val="0"/>
                <w:sz w:val="22"/>
                <w:szCs w:val="22"/>
                <w:shd w:val="clear" w:color="auto" w:fill="auto"/>
                <w:lang w:val="pt-BR" w:bidi="ar-SA"/>
              </w:rPr>
              <w:t>Plataforma:</w:t>
            </w:r>
          </w:p>
          <w:p>
            <w:pPr>
              <w:pStyle w:val="3"/>
              <w:widowControl/>
              <w:suppressAutoHyphens/>
              <w:spacing w:before="0" w:beforeAutospacing="0" w:after="0" w:afterAutospacing="0"/>
              <w:jc w:val="left"/>
              <w:textAlignment w:val="baseline"/>
              <w:rPr>
                <w:rFonts w:ascii="Times New Roman" w:hAnsi="Times New Roman"/>
                <w:sz w:val="22"/>
                <w:szCs w:val="22"/>
                <w:shd w:val="clear" w:color="auto" w:fill="auto"/>
              </w:rPr>
            </w:pPr>
            <w:r>
              <w:rPr>
                <w:b/>
                <w:bCs/>
                <w:color w:val="auto"/>
                <w:kern w:val="0"/>
                <w:sz w:val="22"/>
                <w:szCs w:val="22"/>
                <w:u w:val="none"/>
                <w:shd w:val="clear" w:color="auto" w:fill="auto"/>
                <w:lang w:val="pt-BR" w:bidi="ar-SA"/>
              </w:rPr>
              <w:t>https://www.licitanet.com.br</w:t>
            </w: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rPr>
          <w:trHeight w:val="880" w:hRule="atLeast"/>
        </w:trPr>
        <w:tc>
          <w:tcPr>
            <w:tcW w:w="2259" w:type="dxa"/>
          </w:tcPr>
          <w:p>
            <w:pPr>
              <w:pStyle w:val="3"/>
              <w:widowControl/>
              <w:suppressAutoHyphens/>
              <w:spacing w:before="0" w:beforeAutospacing="0" w:after="0" w:afterAutospacing="0"/>
              <w:jc w:val="left"/>
              <w:textAlignment w:val="baseline"/>
              <w:rPr>
                <w:b/>
                <w:bCs/>
                <w:sz w:val="22"/>
                <w:szCs w:val="22"/>
                <w:shd w:val="clear" w:color="auto" w:fill="auto"/>
              </w:rPr>
            </w:pPr>
            <w:r>
              <w:rPr>
                <w:rStyle w:val="45"/>
                <w:b w:val="0"/>
                <w:bCs w:val="0"/>
                <w:color w:val="000000" w:themeColor="text1"/>
                <w:kern w:val="0"/>
                <w:sz w:val="22"/>
                <w:szCs w:val="22"/>
                <w:shd w:val="clear" w:color="auto" w:fill="auto"/>
                <w:lang w:val="pt-BR" w:bidi="ar-SA"/>
              </w:rPr>
              <w:t>Exige Amostra?</w:t>
            </w:r>
          </w:p>
          <w:p>
            <w:pPr>
              <w:pStyle w:val="3"/>
              <w:widowControl/>
              <w:suppressAutoHyphens/>
              <w:spacing w:before="0" w:beforeAutospacing="0" w:after="0" w:afterAutospacing="0"/>
              <w:jc w:val="left"/>
              <w:textAlignment w:val="baseline"/>
              <w:rPr>
                <w:b/>
                <w:bCs/>
                <w:sz w:val="22"/>
                <w:szCs w:val="22"/>
                <w:shd w:val="clear" w:color="auto" w:fill="auto"/>
              </w:rPr>
            </w:pPr>
            <w:r>
              <w:rPr>
                <w:rStyle w:val="45"/>
                <w:b/>
                <w:bCs/>
                <w:color w:val="000000" w:themeColor="text1"/>
                <w:kern w:val="0"/>
                <w:sz w:val="22"/>
                <w:szCs w:val="22"/>
                <w:shd w:val="clear" w:color="auto" w:fill="auto"/>
                <w:lang w:val="pt-BR" w:bidi="ar-SA"/>
              </w:rPr>
              <w:t>Não</w:t>
            </w:r>
          </w:p>
        </w:tc>
        <w:tc>
          <w:tcPr>
            <w:tcW w:w="1703" w:type="dxa"/>
          </w:tcPr>
          <w:p>
            <w:pPr>
              <w:pStyle w:val="3"/>
              <w:widowControl/>
              <w:suppressAutoHyphens/>
              <w:spacing w:before="0" w:beforeAutospacing="0" w:after="0" w:afterAutospacing="0"/>
              <w:jc w:val="left"/>
              <w:textAlignment w:val="baseline"/>
              <w:rPr>
                <w:sz w:val="22"/>
                <w:szCs w:val="22"/>
                <w:shd w:val="clear" w:color="auto" w:fill="auto"/>
              </w:rPr>
            </w:pPr>
            <w:r>
              <w:rPr>
                <w:rStyle w:val="45"/>
                <w:color w:val="000000" w:themeColor="text1"/>
                <w:kern w:val="0"/>
                <w:sz w:val="22"/>
                <w:szCs w:val="22"/>
                <w:shd w:val="clear" w:color="auto" w:fill="auto"/>
                <w:lang w:val="pt-BR" w:bidi="ar-SA"/>
              </w:rPr>
              <w:t>Participação:</w:t>
            </w:r>
          </w:p>
          <w:p>
            <w:pPr>
              <w:pStyle w:val="3"/>
              <w:widowControl/>
              <w:suppressAutoHyphens/>
              <w:spacing w:before="0" w:beforeAutospacing="0" w:after="0" w:afterAutospacing="0"/>
              <w:jc w:val="left"/>
              <w:textAlignment w:val="baseline"/>
              <w:rPr>
                <w:sz w:val="22"/>
                <w:szCs w:val="22"/>
                <w:shd w:val="clear" w:color="auto" w:fill="auto"/>
              </w:rPr>
            </w:pPr>
            <w:r>
              <w:rPr>
                <w:rFonts w:hint="default"/>
                <w:b/>
                <w:bCs/>
                <w:sz w:val="22"/>
                <w:szCs w:val="22"/>
                <w:shd w:val="clear" w:color="auto" w:fill="auto"/>
                <w:lang w:val="pt-BR"/>
              </w:rPr>
              <w:t>Exclusiva ME/EPP</w:t>
            </w:r>
          </w:p>
        </w:tc>
        <w:tc>
          <w:tcPr>
            <w:tcW w:w="2743" w:type="dxa"/>
            <w:gridSpan w:val="2"/>
          </w:tcPr>
          <w:p>
            <w:pPr>
              <w:pStyle w:val="3"/>
              <w:widowControl/>
              <w:suppressAutoHyphens/>
              <w:spacing w:before="0" w:beforeAutospacing="0" w:after="0" w:afterAutospacing="0"/>
              <w:jc w:val="left"/>
              <w:textAlignment w:val="baseline"/>
              <w:rPr>
                <w:sz w:val="22"/>
                <w:szCs w:val="22"/>
                <w:shd w:val="clear" w:color="auto" w:fill="auto"/>
              </w:rPr>
            </w:pPr>
            <w:r>
              <w:rPr>
                <w:rStyle w:val="45"/>
                <w:color w:val="000000" w:themeColor="text1"/>
                <w:kern w:val="0"/>
                <w:sz w:val="22"/>
                <w:szCs w:val="22"/>
                <w:shd w:val="clear" w:color="auto" w:fill="auto"/>
                <w:lang w:val="pt-BR" w:bidi="ar-SA"/>
              </w:rPr>
              <w:t>Reserva de Cota ME/EPP?</w:t>
            </w:r>
          </w:p>
          <w:p>
            <w:pPr>
              <w:pStyle w:val="3"/>
              <w:widowControl/>
              <w:suppressAutoHyphens/>
              <w:spacing w:before="0" w:beforeAutospacing="0" w:after="0" w:afterAutospacing="0"/>
              <w:jc w:val="left"/>
              <w:textAlignment w:val="baseline"/>
              <w:rPr>
                <w:sz w:val="22"/>
                <w:szCs w:val="22"/>
                <w:shd w:val="clear" w:color="auto" w:fill="auto"/>
              </w:rPr>
            </w:pPr>
            <w:r>
              <w:rPr>
                <w:rStyle w:val="45"/>
                <w:b/>
                <w:bCs/>
                <w:color w:val="000000" w:themeColor="text1"/>
                <w:kern w:val="0"/>
                <w:sz w:val="22"/>
                <w:szCs w:val="22"/>
                <w:shd w:val="clear" w:color="auto" w:fill="auto"/>
                <w:lang w:val="pt-BR" w:bidi="ar-SA"/>
              </w:rPr>
              <w:t>Não</w:t>
            </w:r>
          </w:p>
        </w:tc>
        <w:tc>
          <w:tcPr>
            <w:tcW w:w="2367" w:type="dxa"/>
            <w:gridSpan w:val="2"/>
          </w:tcPr>
          <w:p>
            <w:pPr>
              <w:pStyle w:val="3"/>
              <w:widowControl/>
              <w:suppressAutoHyphens/>
              <w:spacing w:before="0" w:beforeAutospacing="0" w:after="0" w:afterAutospacing="0"/>
              <w:jc w:val="left"/>
              <w:textAlignment w:val="baseline"/>
              <w:rPr>
                <w:sz w:val="22"/>
                <w:szCs w:val="22"/>
                <w:shd w:val="clear" w:color="auto" w:fill="auto"/>
              </w:rPr>
            </w:pPr>
            <w:r>
              <w:rPr>
                <w:rStyle w:val="45"/>
                <w:color w:val="000000" w:themeColor="text1"/>
                <w:kern w:val="0"/>
                <w:sz w:val="22"/>
                <w:szCs w:val="22"/>
                <w:shd w:val="clear" w:color="auto" w:fill="auto"/>
                <w:lang w:val="pt-BR" w:bidi="ar-SA"/>
              </w:rPr>
              <w:t>Decreto Federal nº 7.174/2010?</w:t>
            </w:r>
          </w:p>
          <w:p>
            <w:pPr>
              <w:pStyle w:val="3"/>
              <w:widowControl/>
              <w:suppressAutoHyphens/>
              <w:spacing w:before="0" w:beforeAutospacing="0" w:after="0" w:afterAutospacing="0"/>
              <w:jc w:val="left"/>
              <w:textAlignment w:val="baseline"/>
              <w:rPr>
                <w:sz w:val="22"/>
                <w:szCs w:val="22"/>
                <w:shd w:val="clear" w:color="auto" w:fill="auto"/>
              </w:rPr>
            </w:pPr>
            <w:r>
              <w:rPr>
                <w:rStyle w:val="45"/>
                <w:b/>
                <w:bCs/>
                <w:color w:val="000000" w:themeColor="text1"/>
                <w:kern w:val="0"/>
                <w:sz w:val="22"/>
                <w:szCs w:val="22"/>
                <w:shd w:val="clear" w:color="auto" w:fill="auto"/>
                <w:lang w:val="pt-BR" w:bidi="ar-SA"/>
              </w:rPr>
              <w:t>Não</w:t>
            </w:r>
          </w:p>
        </w:tc>
        <w:tc>
          <w:tcPr>
            <w:tcW w:w="53" w:type="dxa"/>
            <w:tcBorders>
              <w:top w:val="nil"/>
              <w:bottom w:val="nil"/>
            </w:tcBorders>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shd w:val="clear" w:color="auto" w:fill="DDDDDD"/>
          </w:tcPr>
          <w:p>
            <w:pPr>
              <w:pStyle w:val="3"/>
              <w:widowControl/>
              <w:suppressAutoHyphens/>
              <w:spacing w:before="0" w:beforeAutospacing="0" w:after="0" w:afterAutospacing="0"/>
              <w:jc w:val="left"/>
              <w:textAlignment w:val="baseline"/>
              <w:rPr>
                <w:b/>
                <w:bCs/>
                <w:sz w:val="22"/>
                <w:szCs w:val="22"/>
                <w:shd w:val="clear" w:color="auto" w:fill="auto"/>
              </w:rPr>
            </w:pPr>
            <w:r>
              <w:rPr>
                <w:rStyle w:val="45"/>
                <w:b w:val="0"/>
                <w:bCs w:val="0"/>
                <w:color w:val="000000" w:themeColor="text1"/>
                <w:kern w:val="0"/>
                <w:sz w:val="22"/>
                <w:szCs w:val="22"/>
                <w:shd w:val="clear" w:color="auto" w:fill="auto"/>
                <w:lang w:val="pt-BR" w:bidi="ar-SA"/>
              </w:rPr>
              <w:t>Registro de Preços?</w:t>
            </w:r>
          </w:p>
          <w:p>
            <w:pPr>
              <w:pStyle w:val="3"/>
              <w:widowControl/>
              <w:suppressAutoHyphens/>
              <w:spacing w:before="0" w:beforeAutospacing="0" w:after="0" w:afterAutospacing="0"/>
              <w:jc w:val="left"/>
              <w:textAlignment w:val="baseline"/>
              <w:rPr>
                <w:b/>
                <w:bCs/>
                <w:sz w:val="22"/>
                <w:szCs w:val="22"/>
                <w:shd w:val="clear" w:color="auto" w:fill="auto"/>
              </w:rPr>
            </w:pPr>
            <w:r>
              <w:rPr>
                <w:rStyle w:val="45"/>
                <w:b/>
                <w:bCs/>
                <w:color w:val="000000" w:themeColor="text1"/>
                <w:kern w:val="0"/>
                <w:sz w:val="22"/>
                <w:szCs w:val="22"/>
                <w:shd w:val="clear" w:color="auto" w:fill="auto"/>
                <w:lang w:val="pt-BR" w:bidi="ar-SA"/>
              </w:rPr>
              <w:t>Sim</w:t>
            </w:r>
          </w:p>
        </w:tc>
        <w:tc>
          <w:tcPr>
            <w:tcW w:w="1703" w:type="dxa"/>
            <w:shd w:val="clear" w:color="auto" w:fill="DDDDDD"/>
          </w:tcPr>
          <w:p>
            <w:pPr>
              <w:pStyle w:val="3"/>
              <w:widowControl/>
              <w:suppressAutoHyphens/>
              <w:spacing w:before="0" w:beforeAutospacing="0" w:after="0" w:afterAutospacing="0"/>
              <w:jc w:val="left"/>
              <w:textAlignment w:val="baseline"/>
              <w:rPr>
                <w:sz w:val="22"/>
                <w:szCs w:val="22"/>
                <w:shd w:val="clear" w:color="auto" w:fill="auto"/>
              </w:rPr>
            </w:pPr>
            <w:r>
              <w:rPr>
                <w:rStyle w:val="45"/>
                <w:color w:val="000000" w:themeColor="text1"/>
                <w:kern w:val="0"/>
                <w:sz w:val="22"/>
                <w:szCs w:val="22"/>
                <w:shd w:val="clear" w:color="auto" w:fill="auto"/>
                <w:lang w:val="pt-BR" w:bidi="ar-SA"/>
              </w:rPr>
              <w:t>Vistoria?</w:t>
            </w:r>
          </w:p>
          <w:p>
            <w:pPr>
              <w:pStyle w:val="3"/>
              <w:widowControl/>
              <w:suppressAutoHyphens/>
              <w:spacing w:before="0" w:beforeAutospacing="0" w:after="0" w:afterAutospacing="0"/>
              <w:jc w:val="left"/>
              <w:textAlignment w:val="baseline"/>
              <w:rPr>
                <w:sz w:val="22"/>
                <w:szCs w:val="22"/>
                <w:shd w:val="clear" w:color="auto" w:fill="auto"/>
              </w:rPr>
            </w:pPr>
            <w:r>
              <w:rPr>
                <w:rStyle w:val="45"/>
                <w:b/>
                <w:bCs/>
                <w:color w:val="000000" w:themeColor="text1"/>
                <w:kern w:val="0"/>
                <w:sz w:val="22"/>
                <w:szCs w:val="22"/>
                <w:shd w:val="clear" w:color="auto" w:fill="auto"/>
                <w:lang w:val="pt-BR" w:bidi="ar-SA"/>
              </w:rPr>
              <w:t>Não</w:t>
            </w:r>
          </w:p>
        </w:tc>
        <w:tc>
          <w:tcPr>
            <w:tcW w:w="2743" w:type="dxa"/>
            <w:gridSpan w:val="2"/>
            <w:shd w:val="clear" w:color="auto" w:fill="DDDDDD"/>
          </w:tcPr>
          <w:p>
            <w:pPr>
              <w:pStyle w:val="3"/>
              <w:widowControl/>
              <w:suppressAutoHyphens/>
              <w:spacing w:before="0" w:beforeAutospacing="0" w:after="0" w:afterAutospacing="0"/>
              <w:jc w:val="left"/>
              <w:textAlignment w:val="baseline"/>
              <w:rPr>
                <w:sz w:val="22"/>
                <w:szCs w:val="22"/>
                <w:shd w:val="clear" w:color="auto" w:fill="auto"/>
              </w:rPr>
            </w:pPr>
            <w:r>
              <w:rPr>
                <w:rStyle w:val="45"/>
                <w:color w:val="000000" w:themeColor="text1"/>
                <w:kern w:val="0"/>
                <w:sz w:val="22"/>
                <w:szCs w:val="22"/>
                <w:shd w:val="clear" w:color="auto" w:fill="auto"/>
                <w:lang w:val="pt-BR" w:bidi="ar-SA"/>
              </w:rPr>
              <w:t>Amostra?</w:t>
            </w:r>
          </w:p>
          <w:p>
            <w:pPr>
              <w:pStyle w:val="3"/>
              <w:widowControl/>
              <w:suppressAutoHyphens/>
              <w:spacing w:before="0" w:beforeAutospacing="0" w:after="0" w:afterAutospacing="0"/>
              <w:jc w:val="left"/>
              <w:textAlignment w:val="baseline"/>
              <w:rPr>
                <w:sz w:val="22"/>
                <w:szCs w:val="22"/>
                <w:shd w:val="clear" w:color="auto" w:fill="auto"/>
              </w:rPr>
            </w:pPr>
            <w:r>
              <w:rPr>
                <w:rStyle w:val="45"/>
                <w:b/>
                <w:bCs/>
                <w:color w:val="000000" w:themeColor="text1"/>
                <w:kern w:val="0"/>
                <w:sz w:val="22"/>
                <w:szCs w:val="22"/>
                <w:shd w:val="clear" w:color="auto" w:fill="auto"/>
                <w:lang w:val="pt-BR" w:bidi="ar-SA"/>
              </w:rPr>
              <w:t>Não</w:t>
            </w:r>
          </w:p>
        </w:tc>
        <w:tc>
          <w:tcPr>
            <w:tcW w:w="2367" w:type="dxa"/>
            <w:gridSpan w:val="2"/>
            <w:shd w:val="clear" w:color="auto" w:fill="DDDDDD"/>
          </w:tcPr>
          <w:p>
            <w:pPr>
              <w:pStyle w:val="3"/>
              <w:widowControl/>
              <w:suppressAutoHyphens/>
              <w:spacing w:before="0" w:beforeAutospacing="0" w:after="0" w:afterAutospacing="0"/>
              <w:jc w:val="left"/>
              <w:textAlignment w:val="baseline"/>
              <w:rPr>
                <w:sz w:val="22"/>
                <w:szCs w:val="22"/>
                <w:shd w:val="clear" w:color="auto" w:fill="auto"/>
              </w:rPr>
            </w:pPr>
            <w:r>
              <w:rPr>
                <w:rStyle w:val="45"/>
                <w:color w:val="000000" w:themeColor="text1"/>
                <w:kern w:val="0"/>
                <w:sz w:val="22"/>
                <w:szCs w:val="22"/>
                <w:shd w:val="clear" w:color="auto" w:fill="auto"/>
                <w:lang w:val="pt-BR" w:bidi="ar-SA"/>
              </w:rPr>
              <w:t>Instrumento Contratual?</w:t>
            </w:r>
          </w:p>
          <w:p>
            <w:pPr>
              <w:pStyle w:val="3"/>
              <w:widowControl/>
              <w:suppressAutoHyphens/>
              <w:spacing w:before="0" w:beforeAutospacing="0" w:after="0" w:afterAutospacing="0"/>
              <w:jc w:val="left"/>
              <w:textAlignment w:val="baseline"/>
              <w:rPr>
                <w:sz w:val="22"/>
                <w:szCs w:val="22"/>
                <w:shd w:val="clear" w:color="auto" w:fill="auto"/>
              </w:rPr>
            </w:pPr>
            <w:r>
              <w:rPr>
                <w:rStyle w:val="45"/>
                <w:b/>
                <w:bCs/>
                <w:color w:val="000000" w:themeColor="text1"/>
                <w:kern w:val="0"/>
                <w:sz w:val="22"/>
                <w:szCs w:val="22"/>
                <w:shd w:val="clear" w:color="auto" w:fill="auto"/>
                <w:lang w:val="pt-BR" w:bidi="ar-SA"/>
              </w:rPr>
              <w:t>Sim</w:t>
            </w:r>
          </w:p>
        </w:tc>
        <w:tc>
          <w:tcPr>
            <w:tcW w:w="53" w:type="dxa"/>
            <w:tcBorders>
              <w:top w:val="nil"/>
              <w:bottom w:val="nil"/>
            </w:tcBorders>
            <w:shd w:val="clear" w:color="auto" w:fill="CCCCCC" w:themeFill="text1" w:themeFillTint="33"/>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6"/>
          </w:tcPr>
          <w:p>
            <w:pPr>
              <w:pStyle w:val="3"/>
              <w:widowControl/>
              <w:suppressAutoHyphens/>
              <w:spacing w:before="0" w:beforeAutospacing="0" w:after="0" w:afterAutospacing="0"/>
              <w:jc w:val="both"/>
              <w:textAlignment w:val="baseline"/>
              <w:rPr>
                <w:rFonts w:ascii="Times New Roman" w:hAnsi="Times New Roman"/>
                <w:b/>
                <w:bCs/>
                <w:sz w:val="22"/>
                <w:szCs w:val="22"/>
                <w:shd w:val="clear" w:color="auto" w:fill="auto"/>
              </w:rPr>
            </w:pPr>
            <w:r>
              <w:rPr>
                <w:rStyle w:val="45"/>
                <w:b w:val="0"/>
                <w:bCs w:val="0"/>
                <w:color w:val="000000" w:themeColor="text1"/>
                <w:kern w:val="0"/>
                <w:sz w:val="22"/>
                <w:szCs w:val="22"/>
                <w:shd w:val="clear" w:color="auto" w:fill="auto"/>
                <w:lang w:val="pt-BR" w:bidi="ar-SA"/>
              </w:rPr>
              <w:t>Objeto:</w:t>
            </w:r>
            <w:r>
              <w:rPr>
                <w:rStyle w:val="45"/>
                <w:rFonts w:hint="default"/>
                <w:b w:val="0"/>
                <w:bCs w:val="0"/>
                <w:color w:val="000000" w:themeColor="text1"/>
                <w:kern w:val="0"/>
                <w:sz w:val="22"/>
                <w:szCs w:val="22"/>
                <w:shd w:val="clear" w:color="auto" w:fill="auto"/>
                <w:lang w:val="pt-BR" w:bidi="ar-SA"/>
              </w:rPr>
              <w:t xml:space="preserve"> </w:t>
            </w:r>
            <w:r>
              <w:rPr>
                <w:rStyle w:val="45"/>
                <w:rFonts w:hint="default"/>
                <w:b/>
                <w:bCs/>
                <w:color w:val="000000" w:themeColor="text1"/>
                <w:kern w:val="0"/>
                <w:sz w:val="22"/>
                <w:szCs w:val="22"/>
                <w:shd w:val="clear" w:color="auto" w:fill="auto"/>
                <w:lang w:val="pt-BR" w:bidi="ar-SA"/>
              </w:rPr>
              <w:t>Registro de Preço para futura e eventual contratação de e</w:t>
            </w:r>
            <w:r>
              <w:rPr>
                <w:rFonts w:ascii="Times New Roman" w:hAnsi="Times New Roman" w:cs="Times New Roman"/>
                <w:b/>
                <w:bCs/>
                <w:color w:val="000000"/>
                <w:kern w:val="0"/>
                <w:sz w:val="22"/>
                <w:szCs w:val="22"/>
                <w:shd w:val="clear" w:color="auto" w:fill="auto"/>
                <w:lang w:val="pt-BR" w:bidi="ar-SA"/>
              </w:rPr>
              <w:t>mpresa especializada em fornecimento de sistema vídeo com instalação a serem disponibilizados na Câmara Municipal de Primavera do Leste-MT.</w:t>
            </w:r>
          </w:p>
        </w:tc>
        <w:tc>
          <w:tcPr>
            <w:tcW w:w="53" w:type="dxa"/>
            <w:tcBorders>
              <w:top w:val="nil"/>
              <w:bottom w:val="nil"/>
            </w:tcBorders>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6"/>
            <w:shd w:val="clear" w:color="auto" w:fill="DDDDDD"/>
          </w:tcPr>
          <w:p>
            <w:pPr>
              <w:pStyle w:val="3"/>
              <w:widowControl/>
              <w:suppressAutoHyphens/>
              <w:spacing w:before="0" w:beforeAutospacing="0" w:after="0" w:afterAutospacing="0"/>
              <w:jc w:val="left"/>
              <w:textAlignment w:val="baseline"/>
              <w:rPr>
                <w:b/>
                <w:bCs/>
                <w:sz w:val="22"/>
                <w:szCs w:val="22"/>
                <w:shd w:val="clear" w:color="auto" w:fill="auto"/>
              </w:rPr>
            </w:pPr>
            <w:r>
              <w:rPr>
                <w:rStyle w:val="45"/>
                <w:b w:val="0"/>
                <w:bCs w:val="0"/>
                <w:color w:val="000000" w:themeColor="text1"/>
                <w:kern w:val="0"/>
                <w:sz w:val="22"/>
                <w:szCs w:val="22"/>
                <w:shd w:val="clear" w:color="auto" w:fill="auto"/>
                <w:lang w:val="pt-BR" w:bidi="ar-SA"/>
              </w:rPr>
              <w:t>Valor Estimado:</w:t>
            </w:r>
          </w:p>
          <w:p>
            <w:pPr>
              <w:pStyle w:val="173"/>
              <w:spacing w:before="0" w:after="0"/>
              <w:ind w:left="13"/>
              <w:jc w:val="left"/>
              <w:rPr>
                <w:b/>
                <w:bCs/>
                <w:sz w:val="22"/>
                <w:szCs w:val="22"/>
                <w:shd w:val="clear" w:color="auto" w:fill="auto"/>
              </w:rPr>
            </w:pPr>
            <w:r>
              <w:rPr>
                <w:rStyle w:val="45"/>
                <w:rFonts w:hint="default" w:ascii="Times New Roman" w:hAnsi="Times New Roman"/>
                <w:b/>
                <w:bCs/>
                <w:color w:val="000000" w:themeColor="text1"/>
                <w:kern w:val="0"/>
                <w:sz w:val="22"/>
                <w:szCs w:val="22"/>
                <w:shd w:val="clear" w:color="auto" w:fill="auto"/>
                <w:lang w:val="pt-BR" w:eastAsia="en-US"/>
              </w:rPr>
              <w:t>R$ 101.149,29 (Cento e um mil, cento e quarenta e nove reais e vinte e nove centavos)</w:t>
            </w:r>
            <w:r>
              <w:rPr>
                <w:rStyle w:val="45"/>
                <w:rFonts w:ascii="Times New Roman" w:hAnsi="Times New Roman" w:cs="Times New Roman"/>
                <w:b/>
                <w:bCs/>
                <w:color w:val="000000" w:themeColor="text1"/>
                <w:kern w:val="0"/>
                <w:sz w:val="22"/>
                <w:szCs w:val="22"/>
                <w:shd w:val="clear" w:color="auto" w:fill="auto"/>
                <w:lang w:val="pt-BR" w:eastAsia="en-US" w:bidi="ar-SA"/>
              </w:rPr>
              <w:t>.</w:t>
            </w:r>
          </w:p>
        </w:tc>
        <w:tc>
          <w:tcPr>
            <w:tcW w:w="53" w:type="dxa"/>
            <w:tcBorders>
              <w:top w:val="nil"/>
              <w:bottom w:val="nil"/>
            </w:tcBorders>
            <w:shd w:val="clear" w:color="auto" w:fill="CCCCCC" w:themeFill="text1" w:themeFillTint="33"/>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3962" w:type="dxa"/>
            <w:gridSpan w:val="2"/>
          </w:tcPr>
          <w:p>
            <w:pPr>
              <w:pStyle w:val="3"/>
              <w:widowControl/>
              <w:suppressAutoHyphens/>
              <w:spacing w:before="0" w:beforeAutospacing="0" w:after="0" w:afterAutospacing="0"/>
              <w:jc w:val="left"/>
              <w:textAlignment w:val="baseline"/>
              <w:rPr>
                <w:b/>
                <w:bCs/>
                <w:sz w:val="22"/>
                <w:szCs w:val="22"/>
                <w:shd w:val="clear" w:color="auto" w:fill="auto"/>
              </w:rPr>
            </w:pPr>
            <w:r>
              <w:rPr>
                <w:rStyle w:val="45"/>
                <w:b w:val="0"/>
                <w:bCs w:val="0"/>
                <w:color w:val="000000" w:themeColor="text1"/>
                <w:kern w:val="0"/>
                <w:sz w:val="22"/>
                <w:szCs w:val="22"/>
                <w:shd w:val="clear" w:color="auto" w:fill="auto"/>
                <w:lang w:val="pt-BR" w:bidi="ar-SA"/>
              </w:rPr>
              <w:t>Pregoeiro:</w:t>
            </w:r>
          </w:p>
          <w:p>
            <w:pPr>
              <w:pStyle w:val="3"/>
              <w:widowControl/>
              <w:suppressAutoHyphens/>
              <w:spacing w:before="0" w:beforeAutospacing="0" w:after="0" w:afterAutospacing="0"/>
              <w:jc w:val="left"/>
              <w:textAlignment w:val="baseline"/>
              <w:rPr>
                <w:b/>
                <w:bCs/>
                <w:sz w:val="22"/>
                <w:szCs w:val="22"/>
                <w:shd w:val="clear" w:color="auto" w:fill="auto"/>
              </w:rPr>
            </w:pPr>
            <w:r>
              <w:rPr>
                <w:rStyle w:val="45"/>
                <w:b/>
                <w:bCs/>
                <w:color w:val="000000" w:themeColor="text1"/>
                <w:kern w:val="0"/>
                <w:sz w:val="22"/>
                <w:szCs w:val="22"/>
                <w:shd w:val="clear" w:color="auto" w:fill="auto"/>
                <w:lang w:val="pt-BR" w:bidi="ar-SA"/>
              </w:rPr>
              <w:t>Wender de Souza Barros</w:t>
            </w:r>
          </w:p>
        </w:tc>
        <w:tc>
          <w:tcPr>
            <w:tcW w:w="5110" w:type="dxa"/>
            <w:gridSpan w:val="4"/>
          </w:tcPr>
          <w:p>
            <w:pPr>
              <w:pStyle w:val="3"/>
              <w:widowControl/>
              <w:suppressAutoHyphens/>
              <w:spacing w:before="0" w:beforeAutospacing="0" w:after="0" w:afterAutospacing="0"/>
              <w:jc w:val="left"/>
              <w:textAlignment w:val="baseline"/>
              <w:rPr>
                <w:sz w:val="22"/>
                <w:szCs w:val="22"/>
                <w:shd w:val="clear" w:color="auto" w:fill="auto"/>
              </w:rPr>
            </w:pPr>
            <w:r>
              <w:rPr>
                <w:rStyle w:val="45"/>
                <w:color w:val="000000" w:themeColor="text1"/>
                <w:kern w:val="0"/>
                <w:sz w:val="22"/>
                <w:szCs w:val="22"/>
                <w:shd w:val="clear" w:color="auto" w:fill="auto"/>
                <w:lang w:val="pt-BR" w:bidi="ar-SA"/>
              </w:rPr>
              <w:t>Ato de Designação:</w:t>
            </w:r>
          </w:p>
          <w:p>
            <w:pPr>
              <w:pStyle w:val="3"/>
              <w:widowControl/>
              <w:suppressAutoHyphens/>
              <w:spacing w:before="0" w:beforeAutospacing="0" w:after="0" w:afterAutospacing="0"/>
              <w:jc w:val="left"/>
              <w:textAlignment w:val="baseline"/>
              <w:rPr>
                <w:sz w:val="22"/>
                <w:szCs w:val="22"/>
                <w:shd w:val="clear" w:color="auto" w:fill="auto"/>
              </w:rPr>
            </w:pPr>
            <w:r>
              <w:rPr>
                <w:rStyle w:val="45"/>
                <w:rFonts w:cs="Times New Roman"/>
                <w:b/>
                <w:bCs/>
                <w:color w:val="000000" w:themeColor="text1"/>
                <w:sz w:val="22"/>
                <w:szCs w:val="22"/>
                <w:shd w:val="clear" w:color="auto" w:fill="auto"/>
              </w:rPr>
              <w:t xml:space="preserve">Portaria nº </w:t>
            </w:r>
            <w:r>
              <w:rPr>
                <w:rStyle w:val="45"/>
                <w:rFonts w:hint="default" w:cs="Times New Roman"/>
                <w:b/>
                <w:bCs/>
                <w:color w:val="000000" w:themeColor="text1"/>
                <w:sz w:val="22"/>
                <w:szCs w:val="22"/>
                <w:shd w:val="clear" w:color="auto" w:fill="auto"/>
                <w:lang w:val="pt-BR"/>
              </w:rPr>
              <w:t>85</w:t>
            </w:r>
            <w:r>
              <w:rPr>
                <w:rStyle w:val="45"/>
                <w:rFonts w:cs="Times New Roman"/>
                <w:b/>
                <w:bCs/>
                <w:color w:val="000000" w:themeColor="text1"/>
                <w:sz w:val="22"/>
                <w:szCs w:val="22"/>
                <w:shd w:val="clear" w:color="auto" w:fill="auto"/>
              </w:rPr>
              <w:t>/2024</w:t>
            </w:r>
          </w:p>
        </w:tc>
        <w:tc>
          <w:tcPr>
            <w:tcW w:w="53" w:type="dxa"/>
            <w:tcBorders>
              <w:top w:val="nil"/>
              <w:bottom w:val="nil"/>
            </w:tcBorders>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3962" w:type="dxa"/>
            <w:gridSpan w:val="2"/>
            <w:shd w:val="clear" w:color="auto" w:fill="D7D7D7" w:themeFill="background1" w:themeFillShade="D8"/>
          </w:tcPr>
          <w:p>
            <w:pPr>
              <w:pStyle w:val="3"/>
              <w:widowControl/>
              <w:suppressAutoHyphens/>
              <w:spacing w:before="0" w:beforeAutospacing="0" w:after="0" w:afterAutospacing="0"/>
              <w:jc w:val="left"/>
              <w:textAlignment w:val="baseline"/>
              <w:rPr>
                <w:b/>
                <w:bCs/>
                <w:sz w:val="22"/>
                <w:szCs w:val="22"/>
                <w:shd w:val="clear" w:color="auto" w:fill="auto"/>
              </w:rPr>
            </w:pPr>
            <w:r>
              <w:rPr>
                <w:rStyle w:val="45"/>
                <w:b w:val="0"/>
                <w:bCs w:val="0"/>
                <w:color w:val="000000" w:themeColor="text1"/>
                <w:kern w:val="0"/>
                <w:sz w:val="22"/>
                <w:szCs w:val="22"/>
                <w:shd w:val="clear" w:color="auto" w:fill="auto"/>
                <w:lang w:val="pt-BR" w:bidi="ar-SA"/>
              </w:rPr>
              <w:t>Lei de Regência:</w:t>
            </w:r>
          </w:p>
          <w:p>
            <w:pPr>
              <w:pStyle w:val="3"/>
              <w:widowControl/>
              <w:suppressAutoHyphens/>
              <w:spacing w:before="0" w:beforeAutospacing="0" w:after="0" w:afterAutospacing="0"/>
              <w:jc w:val="left"/>
              <w:textAlignment w:val="baseline"/>
              <w:rPr>
                <w:b/>
                <w:bCs/>
                <w:sz w:val="22"/>
                <w:szCs w:val="22"/>
                <w:shd w:val="clear" w:color="auto" w:fill="auto"/>
              </w:rPr>
            </w:pPr>
            <w:r>
              <w:rPr>
                <w:rStyle w:val="45"/>
                <w:b/>
                <w:bCs/>
                <w:color w:val="000000" w:themeColor="text1"/>
                <w:kern w:val="0"/>
                <w:sz w:val="22"/>
                <w:szCs w:val="22"/>
                <w:shd w:val="clear" w:color="auto" w:fill="auto"/>
                <w:lang w:val="pt-BR" w:bidi="ar-SA"/>
              </w:rPr>
              <w:t>Lei Federal nº 14.133, de 2021</w:t>
            </w:r>
          </w:p>
        </w:tc>
        <w:tc>
          <w:tcPr>
            <w:tcW w:w="5110" w:type="dxa"/>
            <w:gridSpan w:val="4"/>
            <w:shd w:val="clear" w:color="auto" w:fill="D7D7D7" w:themeFill="background1" w:themeFillShade="D8"/>
          </w:tcPr>
          <w:p>
            <w:pPr>
              <w:pStyle w:val="3"/>
              <w:widowControl/>
              <w:suppressAutoHyphens/>
              <w:spacing w:before="0" w:beforeAutospacing="0" w:after="0" w:afterAutospacing="0"/>
              <w:jc w:val="left"/>
              <w:textAlignment w:val="baseline"/>
              <w:rPr>
                <w:sz w:val="22"/>
                <w:szCs w:val="22"/>
                <w:shd w:val="clear" w:color="auto" w:fill="auto"/>
              </w:rPr>
            </w:pPr>
            <w:r>
              <w:rPr>
                <w:rStyle w:val="45"/>
                <w:color w:val="000000" w:themeColor="text1"/>
                <w:kern w:val="0"/>
                <w:sz w:val="22"/>
                <w:szCs w:val="22"/>
                <w:shd w:val="clear" w:color="auto" w:fill="auto"/>
                <w:lang w:val="pt-BR" w:bidi="ar-SA"/>
              </w:rPr>
              <w:t>Lei Complementar:</w:t>
            </w:r>
          </w:p>
          <w:p>
            <w:pPr>
              <w:pStyle w:val="3"/>
              <w:widowControl/>
              <w:suppressAutoHyphens/>
              <w:spacing w:before="0" w:beforeAutospacing="0" w:after="0" w:afterAutospacing="0"/>
              <w:jc w:val="left"/>
              <w:textAlignment w:val="baseline"/>
              <w:rPr>
                <w:sz w:val="22"/>
                <w:szCs w:val="22"/>
                <w:shd w:val="clear" w:color="auto" w:fill="auto"/>
              </w:rPr>
            </w:pPr>
            <w:r>
              <w:rPr>
                <w:rStyle w:val="45"/>
                <w:b/>
                <w:bCs/>
                <w:color w:val="000000" w:themeColor="text1"/>
                <w:kern w:val="0"/>
                <w:sz w:val="22"/>
                <w:szCs w:val="22"/>
                <w:shd w:val="clear" w:color="auto" w:fill="auto"/>
                <w:lang w:val="pt-BR" w:bidi="ar-SA"/>
              </w:rPr>
              <w:t>Lei Complementar Federal nº 123, de 2006</w:t>
            </w:r>
          </w:p>
        </w:tc>
        <w:tc>
          <w:tcPr>
            <w:tcW w:w="53" w:type="dxa"/>
            <w:tcBorders>
              <w:top w:val="nil"/>
              <w:bottom w:val="nil"/>
            </w:tcBorders>
            <w:shd w:val="clear" w:color="auto" w:fill="CCCCCC" w:themeFill="text1" w:themeFillTint="33"/>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bl>
    <w:p>
      <w:pPr>
        <w:pStyle w:val="3"/>
        <w:spacing w:before="360" w:beforeAutospacing="0" w:after="120" w:afterAutospacing="0"/>
        <w:ind w:firstLine="0"/>
        <w:jc w:val="both"/>
        <w:textAlignment w:val="baseline"/>
        <w:rPr>
          <w:rStyle w:val="45"/>
          <w:color w:val="000000" w:themeColor="text1"/>
          <w:sz w:val="22"/>
          <w:szCs w:val="22"/>
        </w:rPr>
      </w:pPr>
      <w:r>
        <w:rPr>
          <w:rStyle w:val="45"/>
          <w:color w:val="000000" w:themeColor="text1"/>
        </w:rPr>
        <w:tab/>
      </w:r>
      <w:r>
        <w:rPr>
          <w:rStyle w:val="45"/>
          <w:color w:val="000000" w:themeColor="text1"/>
          <w:sz w:val="22"/>
          <w:szCs w:val="22"/>
        </w:rPr>
        <w:t>O Município de Primavera do Leste - MT, por intermédio da Câmara Municipal de Primavera do Leste - MT, torna público que realizará licitação na modalidade Pregão, na forma eletrônica, em modo de disputa aberto, com participação Exclusiva de ME/EPP</w:t>
      </w:r>
      <w:r>
        <w:rPr>
          <w:rStyle w:val="45"/>
          <w:rFonts w:hint="default"/>
          <w:color w:val="000000" w:themeColor="text1"/>
          <w:sz w:val="22"/>
          <w:szCs w:val="22"/>
          <w:lang w:val="pt-BR"/>
        </w:rPr>
        <w:t xml:space="preserve">, </w:t>
      </w:r>
      <w:r>
        <w:rPr>
          <w:rStyle w:val="45"/>
          <w:color w:val="000000" w:themeColor="text1"/>
          <w:sz w:val="22"/>
          <w:szCs w:val="22"/>
        </w:rPr>
        <w:t xml:space="preserve">para </w:t>
      </w:r>
      <w:r>
        <w:rPr>
          <w:rFonts w:hint="default"/>
          <w:b/>
          <w:bCs/>
          <w:color w:val="000000"/>
          <w:sz w:val="22"/>
          <w:szCs w:val="22"/>
        </w:rPr>
        <w:t>Registro de Preço para futura e eventual contratação de empresa especializada em fornecimento de sistema vídeo com instalação a serem disponibilizados na Câmara Municipal de Primavera do Leste-MT</w:t>
      </w:r>
      <w:r>
        <w:rPr>
          <w:b/>
          <w:bCs/>
          <w:color w:val="000000"/>
          <w:kern w:val="0"/>
          <w:sz w:val="22"/>
          <w:szCs w:val="22"/>
          <w:lang w:val="pt-BR" w:bidi="ar-SA"/>
        </w:rPr>
        <w:t xml:space="preserve">, </w:t>
      </w:r>
      <w:r>
        <w:rPr>
          <w:color w:val="000000"/>
          <w:sz w:val="22"/>
          <w:szCs w:val="22"/>
        </w:rPr>
        <w:t xml:space="preserve"> </w:t>
      </w:r>
      <w:r>
        <w:rPr>
          <w:rStyle w:val="45"/>
          <w:color w:val="000000" w:themeColor="text1"/>
          <w:sz w:val="22"/>
          <w:szCs w:val="22"/>
        </w:rPr>
        <w:t xml:space="preserve">conforme especificações, condições, quantidades e prazos constantes do </w:t>
      </w:r>
      <w:r>
        <w:rPr>
          <w:sz w:val="22"/>
          <w:szCs w:val="22"/>
        </w:rPr>
        <w:fldChar w:fldCharType="begin"/>
      </w:r>
      <w:r>
        <w:rPr>
          <w:sz w:val="22"/>
          <w:szCs w:val="22"/>
        </w:rPr>
        <w:instrText xml:space="preserve"> HYPERLINK \l "_ANEXO_I_-_1" \h </w:instrText>
      </w:r>
      <w:r>
        <w:rPr>
          <w:sz w:val="22"/>
          <w:szCs w:val="22"/>
        </w:rPr>
        <w:fldChar w:fldCharType="separate"/>
      </w:r>
      <w:r>
        <w:rPr>
          <w:rStyle w:val="54"/>
          <w:sz w:val="22"/>
          <w:szCs w:val="22"/>
        </w:rPr>
        <w:t>Termo de Referência - Anexo I deste Edital</w:t>
      </w:r>
      <w:r>
        <w:rPr>
          <w:rStyle w:val="54"/>
          <w:sz w:val="22"/>
          <w:szCs w:val="22"/>
        </w:rPr>
        <w:fldChar w:fldCharType="end"/>
      </w:r>
      <w:r>
        <w:rPr>
          <w:rStyle w:val="45"/>
          <w:color w:val="000000" w:themeColor="text1"/>
          <w:sz w:val="22"/>
          <w:szCs w:val="22"/>
        </w:rPr>
        <w:t xml:space="preserve">. </w:t>
      </w:r>
    </w:p>
    <w:p>
      <w:pPr>
        <w:pStyle w:val="3"/>
        <w:spacing w:before="120" w:beforeAutospacing="0" w:after="120" w:afterAutospacing="0"/>
        <w:ind w:firstLine="567"/>
        <w:jc w:val="both"/>
        <w:textAlignment w:val="baseline"/>
        <w:rPr>
          <w:sz w:val="22"/>
          <w:szCs w:val="22"/>
        </w:rPr>
        <w:sectPr>
          <w:headerReference r:id="rId5" w:type="default"/>
          <w:footerReference r:id="rId6" w:type="default"/>
          <w:pgSz w:w="11906" w:h="16838"/>
          <w:pgMar w:top="2658" w:right="1274" w:bottom="1134" w:left="1701" w:header="709" w:footer="709" w:gutter="0"/>
          <w:pgNumType w:fmt="decimal"/>
          <w:cols w:space="720" w:num="1"/>
          <w:formProt w:val="0"/>
          <w:docGrid w:linePitch="360" w:charSpace="4096"/>
        </w:sectPr>
      </w:pPr>
      <w:r>
        <w:rPr>
          <w:rStyle w:val="45"/>
          <w:color w:val="000000" w:themeColor="text1"/>
          <w:sz w:val="22"/>
          <w:szCs w:val="22"/>
        </w:rPr>
        <w:t xml:space="preserve">A licitação será regida pela </w:t>
      </w:r>
      <w:r>
        <w:rPr>
          <w:sz w:val="22"/>
          <w:szCs w:val="22"/>
        </w:rPr>
        <w:fldChar w:fldCharType="begin"/>
      </w:r>
      <w:r>
        <w:rPr>
          <w:sz w:val="22"/>
          <w:szCs w:val="22"/>
        </w:rPr>
        <w:instrText xml:space="preserve"> HYPERLINK "https://www.planalto.gov.br/ccivil_03/_ato2019-2022/2021/lei/l14133.htm" \h </w:instrText>
      </w:r>
      <w:r>
        <w:rPr>
          <w:sz w:val="22"/>
          <w:szCs w:val="22"/>
        </w:rPr>
        <w:fldChar w:fldCharType="separate"/>
      </w:r>
      <w:r>
        <w:rPr>
          <w:rStyle w:val="54"/>
          <w:sz w:val="22"/>
          <w:szCs w:val="22"/>
        </w:rPr>
        <w:t>Lei Federal nº 14.133, de 2021</w:t>
      </w:r>
      <w:r>
        <w:rPr>
          <w:rStyle w:val="54"/>
          <w:sz w:val="22"/>
          <w:szCs w:val="22"/>
        </w:rPr>
        <w:fldChar w:fldCharType="end"/>
      </w:r>
      <w:r>
        <w:rPr>
          <w:rStyle w:val="45"/>
          <w:color w:val="000000" w:themeColor="text1"/>
          <w:sz w:val="22"/>
          <w:szCs w:val="22"/>
        </w:rPr>
        <w:t xml:space="preserve"> e, complementarmente, pela </w:t>
      </w:r>
      <w:r>
        <w:rPr>
          <w:sz w:val="22"/>
          <w:szCs w:val="22"/>
        </w:rPr>
        <w:fldChar w:fldCharType="begin"/>
      </w:r>
      <w:r>
        <w:rPr>
          <w:sz w:val="22"/>
          <w:szCs w:val="22"/>
        </w:rPr>
        <w:instrText xml:space="preserve"> HYPERLINK "https://www.planalto.gov.br/ccivil_03/leis/lcp/lcp123.htm" \h </w:instrText>
      </w:r>
      <w:r>
        <w:rPr>
          <w:sz w:val="22"/>
          <w:szCs w:val="22"/>
        </w:rPr>
        <w:fldChar w:fldCharType="separate"/>
      </w:r>
      <w:r>
        <w:rPr>
          <w:rStyle w:val="54"/>
          <w:sz w:val="22"/>
          <w:szCs w:val="22"/>
        </w:rPr>
        <w:t>Lei Complementar Federal nº 123, de 2006</w:t>
      </w:r>
      <w:r>
        <w:rPr>
          <w:rStyle w:val="54"/>
          <w:sz w:val="22"/>
          <w:szCs w:val="22"/>
        </w:rPr>
        <w:fldChar w:fldCharType="end"/>
      </w:r>
      <w:r>
        <w:rPr>
          <w:rStyle w:val="45"/>
          <w:color w:val="000000" w:themeColor="text1"/>
          <w:sz w:val="22"/>
          <w:szCs w:val="22"/>
          <w:shd w:val="clear" w:fill="auto"/>
        </w:rPr>
        <w:t>, pelas Resoluções 042/</w:t>
      </w:r>
      <w:r>
        <w:rPr>
          <w:rStyle w:val="45"/>
          <w:color w:val="000000" w:themeColor="text1"/>
          <w:sz w:val="22"/>
          <w:szCs w:val="22"/>
          <w:shd w:val="clear" w:fill="auto"/>
          <w:lang w:val="pt-BR"/>
        </w:rPr>
        <w:t>2023</w:t>
      </w:r>
      <w:r>
        <w:rPr>
          <w:rStyle w:val="45"/>
          <w:color w:val="000000" w:themeColor="text1"/>
          <w:sz w:val="22"/>
          <w:szCs w:val="22"/>
          <w:shd w:val="clear" w:fill="auto"/>
        </w:rPr>
        <w:t>, 043/</w:t>
      </w:r>
      <w:r>
        <w:rPr>
          <w:rStyle w:val="45"/>
          <w:color w:val="000000" w:themeColor="text1"/>
          <w:sz w:val="22"/>
          <w:szCs w:val="22"/>
          <w:shd w:val="clear" w:fill="auto"/>
          <w:lang w:val="pt-BR"/>
        </w:rPr>
        <w:t>2023</w:t>
      </w:r>
      <w:r>
        <w:rPr>
          <w:rStyle w:val="45"/>
          <w:color w:val="000000" w:themeColor="text1"/>
          <w:sz w:val="22"/>
          <w:szCs w:val="22"/>
          <w:shd w:val="clear" w:fill="auto"/>
        </w:rPr>
        <w:t>, 044/</w:t>
      </w:r>
      <w:r>
        <w:rPr>
          <w:rStyle w:val="45"/>
          <w:color w:val="000000" w:themeColor="text1"/>
          <w:sz w:val="22"/>
          <w:szCs w:val="22"/>
          <w:shd w:val="clear" w:fill="auto"/>
          <w:lang w:val="pt-BR"/>
        </w:rPr>
        <w:t>2023</w:t>
      </w:r>
      <w:r>
        <w:rPr>
          <w:rStyle w:val="45"/>
          <w:color w:val="000000" w:themeColor="text1"/>
          <w:sz w:val="22"/>
          <w:szCs w:val="22"/>
          <w:shd w:val="clear" w:fill="auto"/>
        </w:rPr>
        <w:t>, 046/</w:t>
      </w:r>
      <w:r>
        <w:rPr>
          <w:rStyle w:val="45"/>
          <w:color w:val="000000" w:themeColor="text1"/>
          <w:sz w:val="22"/>
          <w:szCs w:val="22"/>
          <w:shd w:val="clear" w:fill="auto"/>
          <w:lang w:val="pt-BR"/>
        </w:rPr>
        <w:t>2023</w:t>
      </w:r>
      <w:r>
        <w:rPr>
          <w:rStyle w:val="45"/>
          <w:color w:val="000000" w:themeColor="text1"/>
          <w:sz w:val="22"/>
          <w:szCs w:val="22"/>
          <w:shd w:val="clear" w:fill="auto"/>
        </w:rPr>
        <w:t>,  048/</w:t>
      </w:r>
      <w:r>
        <w:rPr>
          <w:rStyle w:val="45"/>
          <w:color w:val="000000" w:themeColor="text1"/>
          <w:sz w:val="22"/>
          <w:szCs w:val="22"/>
          <w:shd w:val="clear" w:fill="auto"/>
          <w:lang w:val="pt-BR"/>
        </w:rPr>
        <w:t>2023</w:t>
      </w:r>
      <w:r>
        <w:rPr>
          <w:rStyle w:val="45"/>
          <w:color w:val="000000" w:themeColor="text1"/>
          <w:sz w:val="22"/>
          <w:szCs w:val="22"/>
          <w:shd w:val="clear" w:fill="auto"/>
        </w:rPr>
        <w:t>, 049/</w:t>
      </w:r>
      <w:r>
        <w:rPr>
          <w:rStyle w:val="45"/>
          <w:color w:val="000000" w:themeColor="text1"/>
          <w:sz w:val="22"/>
          <w:szCs w:val="22"/>
          <w:shd w:val="clear" w:fill="auto"/>
          <w:lang w:val="pt-BR"/>
        </w:rPr>
        <w:t>2023</w:t>
      </w:r>
      <w:r>
        <w:rPr>
          <w:rStyle w:val="45"/>
          <w:color w:val="000000" w:themeColor="text1"/>
          <w:sz w:val="22"/>
          <w:szCs w:val="22"/>
          <w:shd w:val="clear" w:fill="auto"/>
        </w:rPr>
        <w:t>, 050/</w:t>
      </w:r>
      <w:r>
        <w:rPr>
          <w:rStyle w:val="45"/>
          <w:color w:val="000000" w:themeColor="text1"/>
          <w:sz w:val="22"/>
          <w:szCs w:val="22"/>
          <w:shd w:val="clear" w:fill="auto"/>
          <w:lang w:val="pt-BR"/>
        </w:rPr>
        <w:t>2023</w:t>
      </w:r>
      <w:r>
        <w:rPr>
          <w:rStyle w:val="45"/>
          <w:color w:val="000000" w:themeColor="text1"/>
          <w:sz w:val="22"/>
          <w:szCs w:val="22"/>
          <w:shd w:val="clear" w:fill="auto"/>
        </w:rPr>
        <w:t>, 051/</w:t>
      </w:r>
      <w:r>
        <w:rPr>
          <w:rStyle w:val="45"/>
          <w:color w:val="000000" w:themeColor="text1"/>
          <w:sz w:val="22"/>
          <w:szCs w:val="22"/>
          <w:shd w:val="clear" w:fill="auto"/>
          <w:lang w:val="pt-BR"/>
        </w:rPr>
        <w:t>2023</w:t>
      </w:r>
      <w:r>
        <w:rPr>
          <w:rStyle w:val="45"/>
          <w:color w:val="000000" w:themeColor="text1"/>
          <w:sz w:val="22"/>
          <w:szCs w:val="22"/>
          <w:shd w:val="clear" w:fill="auto"/>
        </w:rPr>
        <w:t>, 052/</w:t>
      </w:r>
      <w:r>
        <w:rPr>
          <w:rStyle w:val="45"/>
          <w:color w:val="000000" w:themeColor="text1"/>
          <w:sz w:val="22"/>
          <w:szCs w:val="22"/>
          <w:shd w:val="clear" w:fill="auto"/>
          <w:lang w:val="pt-BR"/>
        </w:rPr>
        <w:t>2023</w:t>
      </w:r>
      <w:r>
        <w:rPr>
          <w:rStyle w:val="45"/>
          <w:color w:val="000000" w:themeColor="text1"/>
          <w:sz w:val="22"/>
          <w:szCs w:val="22"/>
          <w:shd w:val="clear" w:fill="auto"/>
        </w:rPr>
        <w:t>, 053/</w:t>
      </w:r>
      <w:r>
        <w:rPr>
          <w:rStyle w:val="45"/>
          <w:color w:val="000000" w:themeColor="text1"/>
          <w:sz w:val="22"/>
          <w:szCs w:val="22"/>
          <w:shd w:val="clear" w:fill="auto"/>
          <w:lang w:val="pt-BR"/>
        </w:rPr>
        <w:t>2023</w:t>
      </w:r>
      <w:r>
        <w:rPr>
          <w:rStyle w:val="45"/>
          <w:color w:val="000000" w:themeColor="text1"/>
          <w:sz w:val="22"/>
          <w:szCs w:val="22"/>
          <w:shd w:val="clear" w:fill="auto"/>
        </w:rPr>
        <w:t>, 055/</w:t>
      </w:r>
      <w:r>
        <w:rPr>
          <w:rStyle w:val="45"/>
          <w:color w:val="000000" w:themeColor="text1"/>
          <w:sz w:val="22"/>
          <w:szCs w:val="22"/>
          <w:shd w:val="clear" w:fill="auto"/>
          <w:lang w:val="pt-BR"/>
        </w:rPr>
        <w:t>2023</w:t>
      </w:r>
      <w:r>
        <w:rPr>
          <w:rStyle w:val="45"/>
          <w:color w:val="000000" w:themeColor="text1"/>
          <w:sz w:val="22"/>
          <w:szCs w:val="22"/>
          <w:shd w:val="clear" w:fill="auto"/>
        </w:rPr>
        <w:t>, 055/</w:t>
      </w:r>
      <w:r>
        <w:rPr>
          <w:rStyle w:val="45"/>
          <w:color w:val="000000" w:themeColor="text1"/>
          <w:sz w:val="22"/>
          <w:szCs w:val="22"/>
          <w:shd w:val="clear" w:fill="auto"/>
          <w:lang w:val="pt-BR"/>
        </w:rPr>
        <w:t>2023</w:t>
      </w:r>
      <w:r>
        <w:rPr>
          <w:rStyle w:val="45"/>
          <w:color w:val="000000" w:themeColor="text1"/>
          <w:sz w:val="22"/>
          <w:szCs w:val="22"/>
          <w:shd w:val="clear" w:fill="auto"/>
        </w:rPr>
        <w:t>, 056/</w:t>
      </w:r>
      <w:r>
        <w:rPr>
          <w:rStyle w:val="45"/>
          <w:color w:val="000000" w:themeColor="text1"/>
          <w:sz w:val="22"/>
          <w:szCs w:val="22"/>
          <w:shd w:val="clear" w:fill="auto"/>
          <w:lang w:val="pt-BR"/>
        </w:rPr>
        <w:t>2023</w:t>
      </w:r>
      <w:r>
        <w:rPr>
          <w:rStyle w:val="45"/>
          <w:color w:val="000000" w:themeColor="text1"/>
          <w:sz w:val="22"/>
          <w:szCs w:val="22"/>
          <w:shd w:val="clear" w:fill="auto"/>
        </w:rPr>
        <w:t>, 057/</w:t>
      </w:r>
      <w:r>
        <w:rPr>
          <w:rStyle w:val="45"/>
          <w:color w:val="000000" w:themeColor="text1"/>
          <w:sz w:val="22"/>
          <w:szCs w:val="22"/>
          <w:shd w:val="clear" w:fill="auto"/>
          <w:lang w:val="pt-BR"/>
        </w:rPr>
        <w:t>2023</w:t>
      </w:r>
      <w:r>
        <w:rPr>
          <w:rStyle w:val="45"/>
          <w:color w:val="000000" w:themeColor="text1"/>
          <w:sz w:val="22"/>
          <w:szCs w:val="22"/>
          <w:shd w:val="clear" w:fill="auto"/>
        </w:rPr>
        <w:t>, 058/</w:t>
      </w:r>
      <w:r>
        <w:rPr>
          <w:rStyle w:val="45"/>
          <w:color w:val="000000" w:themeColor="text1"/>
          <w:sz w:val="22"/>
          <w:szCs w:val="22"/>
          <w:shd w:val="clear" w:fill="auto"/>
          <w:lang w:val="pt-BR"/>
        </w:rPr>
        <w:t>2023</w:t>
      </w:r>
      <w:r>
        <w:rPr>
          <w:rStyle w:val="45"/>
          <w:color w:val="000000" w:themeColor="text1"/>
          <w:sz w:val="22"/>
          <w:szCs w:val="22"/>
          <w:shd w:val="clear" w:fill="auto"/>
        </w:rPr>
        <w:t>, 059/</w:t>
      </w:r>
      <w:r>
        <w:rPr>
          <w:rStyle w:val="45"/>
          <w:color w:val="000000" w:themeColor="text1"/>
          <w:sz w:val="22"/>
          <w:szCs w:val="22"/>
          <w:shd w:val="clear" w:fill="auto"/>
          <w:lang w:val="pt-BR"/>
        </w:rPr>
        <w:t>2023</w:t>
      </w:r>
      <w:r>
        <w:rPr>
          <w:rStyle w:val="45"/>
          <w:color w:val="000000" w:themeColor="text1"/>
          <w:sz w:val="22"/>
          <w:szCs w:val="22"/>
          <w:shd w:val="clear" w:fill="auto"/>
        </w:rPr>
        <w:t>, 06</w:t>
      </w:r>
      <w:r>
        <w:rPr>
          <w:rStyle w:val="45"/>
          <w:color w:val="000000" w:themeColor="text1"/>
          <w:sz w:val="22"/>
          <w:szCs w:val="22"/>
          <w:shd w:val="clear" w:fill="auto"/>
          <w:lang w:val="pt-BR"/>
        </w:rPr>
        <w:t>2</w:t>
      </w:r>
      <w:r>
        <w:rPr>
          <w:rStyle w:val="45"/>
          <w:color w:val="000000" w:themeColor="text1"/>
          <w:sz w:val="22"/>
          <w:szCs w:val="22"/>
          <w:shd w:val="clear" w:fill="auto"/>
        </w:rPr>
        <w:t>/</w:t>
      </w:r>
      <w:r>
        <w:rPr>
          <w:rStyle w:val="45"/>
          <w:color w:val="000000" w:themeColor="text1"/>
          <w:sz w:val="22"/>
          <w:szCs w:val="22"/>
          <w:shd w:val="clear" w:fill="auto"/>
          <w:lang w:val="pt-BR"/>
        </w:rPr>
        <w:t xml:space="preserve">2023 </w:t>
      </w:r>
      <w:r>
        <w:rPr>
          <w:rStyle w:val="45"/>
          <w:color w:val="000000" w:themeColor="text1"/>
          <w:sz w:val="22"/>
          <w:szCs w:val="22"/>
          <w:shd w:val="clear" w:fill="auto"/>
        </w:rPr>
        <w:t>e 06</w:t>
      </w:r>
      <w:r>
        <w:rPr>
          <w:rStyle w:val="45"/>
          <w:color w:val="000000" w:themeColor="text1"/>
          <w:sz w:val="22"/>
          <w:szCs w:val="22"/>
          <w:shd w:val="clear" w:fill="auto"/>
          <w:lang w:val="pt-BR"/>
        </w:rPr>
        <w:t>4</w:t>
      </w:r>
      <w:r>
        <w:rPr>
          <w:rStyle w:val="45"/>
          <w:color w:val="000000" w:themeColor="text1"/>
          <w:sz w:val="22"/>
          <w:szCs w:val="22"/>
          <w:shd w:val="clear" w:fill="auto"/>
        </w:rPr>
        <w:t>/2024.</w:t>
      </w:r>
    </w:p>
    <w:p>
      <w:pPr>
        <w:pStyle w:val="3"/>
        <w:spacing w:before="120" w:beforeAutospacing="0" w:after="120" w:afterAutospacing="0"/>
        <w:ind w:firstLine="567"/>
        <w:jc w:val="both"/>
        <w:textAlignment w:val="baseline"/>
        <w:rPr>
          <w:rFonts w:ascii="Times New Roman" w:hAnsi="Times New Roman"/>
          <w:color w:val="000000" w:themeColor="text1"/>
          <w:sz w:val="22"/>
          <w:szCs w:val="22"/>
          <w:highlight w:val="none"/>
          <w:shd w:val="clear" w:fill="FFE994"/>
        </w:rPr>
      </w:pPr>
    </w:p>
    <w:p>
      <w:pPr>
        <w:pStyle w:val="3"/>
        <w:numPr>
          <w:ilvl w:val="0"/>
          <w:numId w:val="1"/>
        </w:numPr>
        <w:pBdr>
          <w:bottom w:val="single" w:color="000000" w:sz="8" w:space="1"/>
        </w:pBdr>
        <w:shd w:val="clear" w:color="auto" w:fill="BEBEBE" w:themeFill="background1" w:themeFillShade="BF"/>
        <w:spacing w:before="360" w:beforeAutospacing="0" w:after="120" w:afterAutospacing="0"/>
        <w:jc w:val="both"/>
        <w:textAlignment w:val="baseline"/>
      </w:pPr>
      <w:r>
        <w:rPr>
          <w:rStyle w:val="45"/>
          <w:b/>
          <w:bCs/>
          <w:sz w:val="22"/>
          <w:szCs w:val="22"/>
        </w:rPr>
        <w:t>SUMÁRIO</w:t>
      </w:r>
    </w:p>
    <w:sdt>
      <w:sdtPr>
        <w:id w:val="-1628542201"/>
        <w:docPartObj>
          <w:docPartGallery w:val="Table of Contents"/>
          <w:docPartUnique/>
        </w:docPartObj>
      </w:sdtPr>
      <w:sdtContent>
        <w:p>
          <w:pPr>
            <w:pStyle w:val="140"/>
            <w:spacing w:before="0" w:after="0" w:line="240" w:lineRule="auto"/>
            <w:ind w:left="0" w:firstLine="0"/>
            <w:rPr>
              <w:rFonts w:ascii="Times New Roman" w:hAnsi="Times New Roman" w:cs="Times New Roman"/>
              <w:sz w:val="22"/>
              <w:szCs w:val="22"/>
            </w:rPr>
          </w:pPr>
        </w:p>
        <w:p>
          <w:pPr>
            <w:pStyle w:val="41"/>
            <w:tabs>
              <w:tab w:val="left" w:pos="440"/>
              <w:tab w:val="right" w:leader="dot" w:pos="8921"/>
            </w:tabs>
          </w:pPr>
          <w:r>
            <w:fldChar w:fldCharType="begin"/>
          </w:r>
          <w:r>
            <w:rPr>
              <w:rStyle w:val="126"/>
              <w:rFonts w:ascii="Times New Roman" w:hAnsi="Times New Roman"/>
              <w:vanish w:val="0"/>
              <w:sz w:val="22"/>
              <w:szCs w:val="22"/>
            </w:rPr>
            <w:instrText xml:space="preserve"> TOC \z \o "1-3" \u \h</w:instrText>
          </w:r>
          <w:r>
            <w:rPr>
              <w:rStyle w:val="126"/>
              <w:rFonts w:ascii="Times New Roman" w:hAnsi="Times New Roman"/>
              <w:vanish w:val="0"/>
              <w:sz w:val="22"/>
              <w:szCs w:val="22"/>
            </w:rPr>
            <w:fldChar w:fldCharType="separate"/>
          </w:r>
          <w:r>
            <w:fldChar w:fldCharType="begin"/>
          </w:r>
          <w:r>
            <w:instrText xml:space="preserve"> HYPERLINK \l "_Toc149517427" \h </w:instrText>
          </w:r>
          <w:r>
            <w:fldChar w:fldCharType="separate"/>
          </w:r>
          <w:r>
            <w:rPr>
              <w:rStyle w:val="126"/>
              <w:rFonts w:ascii="Times New Roman" w:hAnsi="Times New Roman"/>
              <w:vanish w:val="0"/>
              <w:sz w:val="22"/>
              <w:szCs w:val="22"/>
            </w:rPr>
            <w:t>2.</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PUBLICIDADE</w:t>
          </w:r>
          <w:r>
            <w:fldChar w:fldCharType="begin"/>
          </w:r>
          <w:r>
            <w:instrText xml:space="preserve">PAGEREF _Toc149517427 \h</w:instrText>
          </w:r>
          <w:r>
            <w:fldChar w:fldCharType="separate"/>
          </w:r>
          <w:r>
            <w:t>3</w:t>
          </w:r>
          <w:r>
            <w:fldChar w:fldCharType="end"/>
          </w:r>
          <w:r>
            <w:fldChar w:fldCharType="end"/>
          </w:r>
        </w:p>
        <w:p>
          <w:pPr>
            <w:pStyle w:val="41"/>
            <w:tabs>
              <w:tab w:val="left" w:pos="440"/>
              <w:tab w:val="right" w:leader="dot" w:pos="8921"/>
            </w:tabs>
          </w:pPr>
          <w:r>
            <w:fldChar w:fldCharType="begin"/>
          </w:r>
          <w:r>
            <w:instrText xml:space="preserve"> HYPERLINK \l "_Toc149517428" \h </w:instrText>
          </w:r>
          <w:r>
            <w:fldChar w:fldCharType="separate"/>
          </w:r>
          <w:r>
            <w:rPr>
              <w:rStyle w:val="126"/>
              <w:rFonts w:ascii="Times New Roman" w:hAnsi="Times New Roman"/>
              <w:vanish w:val="0"/>
              <w:sz w:val="22"/>
              <w:szCs w:val="22"/>
            </w:rPr>
            <w:t>3.</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PLATAFORMA ELETRÔNICA</w:t>
          </w:r>
          <w:r>
            <w:fldChar w:fldCharType="begin"/>
          </w:r>
          <w:r>
            <w:instrText xml:space="preserve">PAGEREF _Toc149517428 \h</w:instrText>
          </w:r>
          <w:r>
            <w:fldChar w:fldCharType="separate"/>
          </w:r>
          <w:r>
            <w:t>3</w:t>
          </w:r>
          <w:r>
            <w:fldChar w:fldCharType="end"/>
          </w:r>
          <w:r>
            <w:fldChar w:fldCharType="end"/>
          </w:r>
        </w:p>
        <w:p>
          <w:pPr>
            <w:pStyle w:val="41"/>
            <w:tabs>
              <w:tab w:val="left" w:pos="440"/>
              <w:tab w:val="right" w:leader="dot" w:pos="8921"/>
            </w:tabs>
          </w:pPr>
          <w:r>
            <w:fldChar w:fldCharType="begin"/>
          </w:r>
          <w:r>
            <w:instrText xml:space="preserve"> HYPERLINK \l "_Toc149517429" \h </w:instrText>
          </w:r>
          <w:r>
            <w:fldChar w:fldCharType="separate"/>
          </w:r>
          <w:r>
            <w:rPr>
              <w:rStyle w:val="126"/>
              <w:rFonts w:ascii="Times New Roman" w:hAnsi="Times New Roman"/>
              <w:vanish w:val="0"/>
              <w:sz w:val="22"/>
              <w:szCs w:val="22"/>
            </w:rPr>
            <w:t>4.</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DATA E HORÁRIO</w:t>
          </w:r>
          <w:r>
            <w:fldChar w:fldCharType="begin"/>
          </w:r>
          <w:r>
            <w:instrText xml:space="preserve">PAGEREF _Toc149517429 \h</w:instrText>
          </w:r>
          <w:r>
            <w:fldChar w:fldCharType="separate"/>
          </w:r>
          <w:r>
            <w:t>3</w:t>
          </w:r>
          <w:r>
            <w:fldChar w:fldCharType="end"/>
          </w:r>
          <w:r>
            <w:fldChar w:fldCharType="end"/>
          </w:r>
        </w:p>
        <w:p>
          <w:pPr>
            <w:pStyle w:val="41"/>
            <w:tabs>
              <w:tab w:val="left" w:pos="440"/>
              <w:tab w:val="right" w:leader="dot" w:pos="8921"/>
            </w:tabs>
          </w:pPr>
          <w:r>
            <w:fldChar w:fldCharType="begin"/>
          </w:r>
          <w:r>
            <w:instrText xml:space="preserve"> HYPERLINK \l "_Toc149517430" \h </w:instrText>
          </w:r>
          <w:r>
            <w:fldChar w:fldCharType="separate"/>
          </w:r>
          <w:r>
            <w:rPr>
              <w:rStyle w:val="126"/>
              <w:rFonts w:ascii="Times New Roman" w:hAnsi="Times New Roman"/>
              <w:vanish w:val="0"/>
              <w:sz w:val="22"/>
              <w:szCs w:val="22"/>
            </w:rPr>
            <w:t>5.</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AGENTE DE CONTRAÇÃO</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4</w:t>
          </w:r>
        </w:p>
        <w:p>
          <w:pPr>
            <w:pStyle w:val="41"/>
            <w:tabs>
              <w:tab w:val="left" w:pos="440"/>
              <w:tab w:val="right" w:leader="dot" w:pos="8921"/>
            </w:tabs>
          </w:pPr>
          <w:r>
            <w:fldChar w:fldCharType="begin"/>
          </w:r>
          <w:r>
            <w:instrText xml:space="preserve"> HYPERLINK \l "_Toc149517431" \h </w:instrText>
          </w:r>
          <w:r>
            <w:fldChar w:fldCharType="separate"/>
          </w:r>
          <w:r>
            <w:rPr>
              <w:rStyle w:val="126"/>
              <w:rFonts w:ascii="Times New Roman" w:hAnsi="Times New Roman"/>
              <w:vanish w:val="0"/>
              <w:sz w:val="22"/>
              <w:szCs w:val="22"/>
            </w:rPr>
            <w:t>6.</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OBJETO</w:t>
          </w:r>
          <w:r>
            <w:fldChar w:fldCharType="begin"/>
          </w:r>
          <w:r>
            <w:instrText xml:space="preserve">PAGEREF _Toc149517431 \h</w:instrText>
          </w:r>
          <w:r>
            <w:fldChar w:fldCharType="separate"/>
          </w:r>
          <w:r>
            <w:t>4</w:t>
          </w:r>
          <w:r>
            <w:fldChar w:fldCharType="end"/>
          </w:r>
          <w:r>
            <w:fldChar w:fldCharType="end"/>
          </w:r>
        </w:p>
        <w:p>
          <w:pPr>
            <w:pStyle w:val="41"/>
            <w:tabs>
              <w:tab w:val="left" w:pos="440"/>
              <w:tab w:val="right" w:leader="dot" w:pos="8921"/>
            </w:tabs>
          </w:pPr>
          <w:r>
            <w:fldChar w:fldCharType="begin"/>
          </w:r>
          <w:r>
            <w:instrText xml:space="preserve"> HYPERLINK \l "_Toc149517432" \h </w:instrText>
          </w:r>
          <w:r>
            <w:fldChar w:fldCharType="separate"/>
          </w:r>
          <w:r>
            <w:rPr>
              <w:rStyle w:val="126"/>
              <w:rFonts w:ascii="Times New Roman" w:hAnsi="Times New Roman"/>
              <w:vanish w:val="0"/>
              <w:sz w:val="22"/>
              <w:szCs w:val="22"/>
            </w:rPr>
            <w:t>7.</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CONDIÇÕES PARA PARTICIPAÇÃO</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5</w:t>
          </w:r>
        </w:p>
        <w:p>
          <w:pPr>
            <w:pStyle w:val="41"/>
            <w:tabs>
              <w:tab w:val="left" w:pos="440"/>
              <w:tab w:val="right" w:leader="dot" w:pos="8921"/>
            </w:tabs>
          </w:pPr>
          <w:r>
            <w:fldChar w:fldCharType="begin"/>
          </w:r>
          <w:r>
            <w:instrText xml:space="preserve"> HYPERLINK \l "_Toc149517433" \h </w:instrText>
          </w:r>
          <w:r>
            <w:fldChar w:fldCharType="separate"/>
          </w:r>
          <w:r>
            <w:rPr>
              <w:rStyle w:val="126"/>
              <w:rFonts w:ascii="Times New Roman" w:hAnsi="Times New Roman"/>
              <w:vanish w:val="0"/>
              <w:sz w:val="22"/>
              <w:szCs w:val="22"/>
            </w:rPr>
            <w:t>8.</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CONSÓRCIO</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9</w:t>
          </w:r>
        </w:p>
        <w:p>
          <w:pPr>
            <w:pStyle w:val="41"/>
            <w:tabs>
              <w:tab w:val="left" w:pos="440"/>
              <w:tab w:val="right" w:leader="dot" w:pos="8921"/>
            </w:tabs>
          </w:pPr>
          <w:r>
            <w:fldChar w:fldCharType="begin"/>
          </w:r>
          <w:r>
            <w:instrText xml:space="preserve"> HYPERLINK \l "_Toc149517434" \h </w:instrText>
          </w:r>
          <w:r>
            <w:fldChar w:fldCharType="separate"/>
          </w:r>
          <w:r>
            <w:rPr>
              <w:rStyle w:val="126"/>
              <w:rFonts w:ascii="Times New Roman" w:hAnsi="Times New Roman"/>
              <w:vanish w:val="0"/>
              <w:sz w:val="22"/>
              <w:szCs w:val="22"/>
            </w:rPr>
            <w:t>9.</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COOPERATIVA</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10</w:t>
          </w:r>
        </w:p>
        <w:p>
          <w:pPr>
            <w:pStyle w:val="41"/>
            <w:tabs>
              <w:tab w:val="left" w:pos="660"/>
              <w:tab w:val="right" w:leader="dot" w:pos="8921"/>
            </w:tabs>
          </w:pPr>
          <w:r>
            <w:fldChar w:fldCharType="begin"/>
          </w:r>
          <w:r>
            <w:instrText xml:space="preserve"> HYPERLINK \l "_Toc149517435" \h </w:instrText>
          </w:r>
          <w:r>
            <w:fldChar w:fldCharType="separate"/>
          </w:r>
          <w:r>
            <w:rPr>
              <w:rStyle w:val="126"/>
              <w:rFonts w:ascii="Times New Roman" w:hAnsi="Times New Roman"/>
              <w:vanish w:val="0"/>
              <w:sz w:val="22"/>
              <w:szCs w:val="22"/>
            </w:rPr>
            <w:t>10.</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IMPUGNAÇÃO E ESCLARECIMENTOS</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10</w:t>
          </w:r>
        </w:p>
        <w:p>
          <w:pPr>
            <w:pStyle w:val="41"/>
            <w:tabs>
              <w:tab w:val="left" w:pos="660"/>
              <w:tab w:val="right" w:leader="dot" w:pos="8921"/>
            </w:tabs>
          </w:pPr>
          <w:r>
            <w:fldChar w:fldCharType="begin"/>
          </w:r>
          <w:r>
            <w:instrText xml:space="preserve"> HYPERLINK \l "_Toc149517436" \h </w:instrText>
          </w:r>
          <w:r>
            <w:fldChar w:fldCharType="separate"/>
          </w:r>
          <w:r>
            <w:rPr>
              <w:rStyle w:val="126"/>
              <w:rFonts w:ascii="Times New Roman" w:hAnsi="Times New Roman"/>
              <w:vanish w:val="0"/>
              <w:sz w:val="22"/>
              <w:szCs w:val="22"/>
            </w:rPr>
            <w:t>11.</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CREDENCIAMENTO</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10</w:t>
          </w:r>
        </w:p>
        <w:p>
          <w:pPr>
            <w:pStyle w:val="41"/>
            <w:tabs>
              <w:tab w:val="left" w:pos="660"/>
              <w:tab w:val="right" w:leader="dot" w:pos="8921"/>
            </w:tabs>
          </w:pPr>
          <w:r>
            <w:fldChar w:fldCharType="begin"/>
          </w:r>
          <w:r>
            <w:instrText xml:space="preserve"> HYPERLINK \l "_Toc149517437" \h </w:instrText>
          </w:r>
          <w:r>
            <w:fldChar w:fldCharType="separate"/>
          </w:r>
          <w:r>
            <w:rPr>
              <w:rStyle w:val="126"/>
              <w:rFonts w:ascii="Times New Roman" w:hAnsi="Times New Roman"/>
              <w:vanish w:val="0"/>
              <w:sz w:val="22"/>
              <w:szCs w:val="22"/>
            </w:rPr>
            <w:t>12.</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CADASTRAMENTO DA PROPOSTA</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11</w:t>
          </w:r>
        </w:p>
        <w:p>
          <w:pPr>
            <w:pStyle w:val="41"/>
            <w:tabs>
              <w:tab w:val="left" w:pos="660"/>
              <w:tab w:val="right" w:leader="dot" w:pos="8921"/>
            </w:tabs>
          </w:pPr>
          <w:r>
            <w:fldChar w:fldCharType="begin"/>
          </w:r>
          <w:r>
            <w:instrText xml:space="preserve"> HYPERLINK \l "_Toc149517438" \h </w:instrText>
          </w:r>
          <w:r>
            <w:fldChar w:fldCharType="separate"/>
          </w:r>
          <w:r>
            <w:rPr>
              <w:rStyle w:val="126"/>
              <w:rFonts w:ascii="Times New Roman" w:hAnsi="Times New Roman"/>
              <w:vanish w:val="0"/>
              <w:sz w:val="22"/>
              <w:szCs w:val="22"/>
            </w:rPr>
            <w:t>13.</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CADASTRAMENTO DOS DOCUMENTOS DE HABILITAÇÃO</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t>1</w:t>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2</w:t>
          </w:r>
        </w:p>
        <w:p>
          <w:pPr>
            <w:pStyle w:val="41"/>
            <w:tabs>
              <w:tab w:val="left" w:pos="660"/>
              <w:tab w:val="right" w:leader="dot" w:pos="8921"/>
            </w:tabs>
          </w:pPr>
          <w:r>
            <w:fldChar w:fldCharType="begin"/>
          </w:r>
          <w:r>
            <w:instrText xml:space="preserve"> HYPERLINK \l "_Toc149517439" \h </w:instrText>
          </w:r>
          <w:r>
            <w:fldChar w:fldCharType="separate"/>
          </w:r>
          <w:r>
            <w:rPr>
              <w:rStyle w:val="126"/>
              <w:rFonts w:ascii="Times New Roman" w:hAnsi="Times New Roman"/>
              <w:vanish w:val="0"/>
              <w:sz w:val="22"/>
              <w:szCs w:val="22"/>
            </w:rPr>
            <w:t>15.</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FORMULAÇÃO DE LANCES</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t>1</w:t>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3</w:t>
          </w:r>
        </w:p>
        <w:p>
          <w:pPr>
            <w:pStyle w:val="41"/>
            <w:tabs>
              <w:tab w:val="left" w:pos="660"/>
              <w:tab w:val="right" w:leader="dot" w:pos="8921"/>
            </w:tabs>
          </w:pPr>
          <w:r>
            <w:fldChar w:fldCharType="begin"/>
          </w:r>
          <w:r>
            <w:instrText xml:space="preserve"> HYPERLINK \l "_Toc149517440" \h </w:instrText>
          </w:r>
          <w:r>
            <w:fldChar w:fldCharType="separate"/>
          </w:r>
          <w:r>
            <w:rPr>
              <w:rStyle w:val="126"/>
              <w:rFonts w:ascii="Times New Roman" w:hAnsi="Times New Roman"/>
              <w:vanish w:val="0"/>
              <w:sz w:val="22"/>
              <w:szCs w:val="22"/>
            </w:rPr>
            <w:t>16.</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DESCONEXÃO DO(A) Pregoeiro</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t>1</w:t>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4</w:t>
          </w:r>
        </w:p>
        <w:p>
          <w:pPr>
            <w:pStyle w:val="41"/>
            <w:tabs>
              <w:tab w:val="left" w:pos="660"/>
              <w:tab w:val="right" w:leader="dot" w:pos="8921"/>
            </w:tabs>
          </w:pPr>
          <w:r>
            <w:fldChar w:fldCharType="begin"/>
          </w:r>
          <w:r>
            <w:instrText xml:space="preserve"> HYPERLINK \l "_Toc149517441" \h </w:instrText>
          </w:r>
          <w:r>
            <w:fldChar w:fldCharType="separate"/>
          </w:r>
          <w:r>
            <w:rPr>
              <w:rStyle w:val="126"/>
              <w:rFonts w:ascii="Times New Roman" w:hAnsi="Times New Roman"/>
              <w:vanish w:val="0"/>
              <w:sz w:val="22"/>
              <w:szCs w:val="22"/>
            </w:rPr>
            <w:t>17.</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BENEFÍCIOS ÀS MICROEMPRESAS E EMPRESAS DE PEQUENO PORTE</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t>1</w:t>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4</w:t>
          </w:r>
        </w:p>
        <w:p>
          <w:pPr>
            <w:pStyle w:val="41"/>
            <w:tabs>
              <w:tab w:val="left" w:pos="660"/>
              <w:tab w:val="right" w:leader="dot" w:pos="8921"/>
            </w:tabs>
          </w:pPr>
          <w:r>
            <w:fldChar w:fldCharType="begin"/>
          </w:r>
          <w:r>
            <w:instrText xml:space="preserve"> HYPERLINK \l "_Toc149517442" \h </w:instrText>
          </w:r>
          <w:r>
            <w:fldChar w:fldCharType="separate"/>
          </w:r>
          <w:r>
            <w:rPr>
              <w:rStyle w:val="126"/>
              <w:rFonts w:ascii="Times New Roman" w:hAnsi="Times New Roman"/>
              <w:vanish w:val="0"/>
              <w:sz w:val="22"/>
              <w:szCs w:val="22"/>
            </w:rPr>
            <w:t>18.</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EMPATE FICTO</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t>1</w:t>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5</w:t>
          </w:r>
        </w:p>
        <w:p>
          <w:pPr>
            <w:pStyle w:val="41"/>
            <w:tabs>
              <w:tab w:val="left" w:pos="660"/>
              <w:tab w:val="right" w:leader="dot" w:pos="8921"/>
            </w:tabs>
          </w:pPr>
          <w:r>
            <w:fldChar w:fldCharType="begin"/>
          </w:r>
          <w:r>
            <w:instrText xml:space="preserve"> HYPERLINK \l "_Toc149517443" \h </w:instrText>
          </w:r>
          <w:r>
            <w:fldChar w:fldCharType="separate"/>
          </w:r>
          <w:r>
            <w:rPr>
              <w:rStyle w:val="126"/>
              <w:rFonts w:ascii="Times New Roman" w:hAnsi="Times New Roman"/>
              <w:vanish w:val="0"/>
              <w:sz w:val="22"/>
              <w:szCs w:val="22"/>
            </w:rPr>
            <w:t>19.</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EMPATE REAL</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t>1</w:t>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6</w:t>
          </w:r>
        </w:p>
        <w:p>
          <w:pPr>
            <w:pStyle w:val="41"/>
            <w:tabs>
              <w:tab w:val="left" w:pos="660"/>
              <w:tab w:val="right" w:leader="dot" w:pos="8921"/>
            </w:tabs>
          </w:pPr>
          <w:r>
            <w:fldChar w:fldCharType="begin"/>
          </w:r>
          <w:r>
            <w:instrText xml:space="preserve"> HYPERLINK \l "_Toc149517444" \h </w:instrText>
          </w:r>
          <w:r>
            <w:fldChar w:fldCharType="separate"/>
          </w:r>
          <w:r>
            <w:rPr>
              <w:rStyle w:val="126"/>
              <w:rFonts w:ascii="Times New Roman" w:hAnsi="Times New Roman"/>
              <w:vanish w:val="0"/>
              <w:sz w:val="22"/>
              <w:szCs w:val="22"/>
            </w:rPr>
            <w:t>22.</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DESCLASSIFICAÇÃO DE PROPOSTA</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t>1</w:t>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7</w:t>
          </w:r>
        </w:p>
        <w:p>
          <w:pPr>
            <w:pStyle w:val="41"/>
            <w:tabs>
              <w:tab w:val="left" w:pos="660"/>
              <w:tab w:val="right" w:leader="dot" w:pos="8921"/>
            </w:tabs>
          </w:pPr>
          <w:r>
            <w:fldChar w:fldCharType="begin"/>
          </w:r>
          <w:r>
            <w:instrText xml:space="preserve"> HYPERLINK \l "_Toc149517445" \h </w:instrText>
          </w:r>
          <w:r>
            <w:fldChar w:fldCharType="separate"/>
          </w:r>
          <w:r>
            <w:rPr>
              <w:rStyle w:val="126"/>
              <w:rFonts w:ascii="Times New Roman" w:hAnsi="Times New Roman"/>
              <w:vanish w:val="0"/>
              <w:sz w:val="22"/>
              <w:szCs w:val="22"/>
            </w:rPr>
            <w:t>23.</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INEXEQUIBILIDADE DE PROPOSTA</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t>1</w:t>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7</w:t>
          </w:r>
        </w:p>
        <w:p>
          <w:pPr>
            <w:pStyle w:val="41"/>
            <w:tabs>
              <w:tab w:val="left" w:pos="660"/>
              <w:tab w:val="right" w:leader="dot" w:pos="8921"/>
            </w:tabs>
          </w:pPr>
          <w:r>
            <w:fldChar w:fldCharType="begin"/>
          </w:r>
          <w:r>
            <w:instrText xml:space="preserve"> HYPERLINK \l "_Toc149517446" \h </w:instrText>
          </w:r>
          <w:r>
            <w:fldChar w:fldCharType="separate"/>
          </w:r>
          <w:r>
            <w:rPr>
              <w:rStyle w:val="126"/>
              <w:rFonts w:ascii="Times New Roman" w:hAnsi="Times New Roman"/>
              <w:vanish w:val="0"/>
              <w:sz w:val="22"/>
              <w:szCs w:val="22"/>
            </w:rPr>
            <w:t>24.</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PROPOSTA CLASSIFICADA EM PRIMEIRO LUGAR</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18</w:t>
          </w:r>
        </w:p>
        <w:p>
          <w:pPr>
            <w:pStyle w:val="41"/>
            <w:tabs>
              <w:tab w:val="left" w:pos="660"/>
              <w:tab w:val="right" w:leader="dot" w:pos="8921"/>
            </w:tabs>
          </w:pPr>
          <w:r>
            <w:fldChar w:fldCharType="begin"/>
          </w:r>
          <w:r>
            <w:instrText xml:space="preserve"> HYPERLINK \l "_Toc149517447" \h </w:instrText>
          </w:r>
          <w:r>
            <w:fldChar w:fldCharType="separate"/>
          </w:r>
          <w:r>
            <w:rPr>
              <w:rStyle w:val="126"/>
              <w:rFonts w:ascii="Times New Roman" w:hAnsi="Times New Roman"/>
              <w:vanish w:val="0"/>
              <w:sz w:val="22"/>
              <w:szCs w:val="22"/>
            </w:rPr>
            <w:t>25.</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ACEITABILIDADE DA PROPOSTA</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t>1</w:t>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9</w:t>
          </w:r>
        </w:p>
        <w:p>
          <w:pPr>
            <w:pStyle w:val="41"/>
            <w:tabs>
              <w:tab w:val="left" w:pos="660"/>
              <w:tab w:val="right" w:leader="dot" w:pos="8921"/>
            </w:tabs>
          </w:pPr>
          <w:r>
            <w:fldChar w:fldCharType="begin"/>
          </w:r>
          <w:r>
            <w:instrText xml:space="preserve"> HYPERLINK \l "_Toc149517448" \h </w:instrText>
          </w:r>
          <w:r>
            <w:fldChar w:fldCharType="separate"/>
          </w:r>
          <w:r>
            <w:rPr>
              <w:rStyle w:val="126"/>
              <w:rFonts w:ascii="Times New Roman" w:hAnsi="Times New Roman"/>
              <w:vanish w:val="0"/>
              <w:sz w:val="22"/>
              <w:szCs w:val="22"/>
            </w:rPr>
            <w:t>26.</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HABILITAÇÃO DA LICITANTE CLASSIFICADA EM PRIMEIRO LUGAR</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20</w:t>
          </w:r>
        </w:p>
        <w:p>
          <w:pPr>
            <w:pStyle w:val="41"/>
            <w:tabs>
              <w:tab w:val="left" w:pos="660"/>
              <w:tab w:val="right" w:leader="dot" w:pos="8921"/>
            </w:tabs>
          </w:pPr>
          <w:r>
            <w:fldChar w:fldCharType="begin"/>
          </w:r>
          <w:r>
            <w:instrText xml:space="preserve"> HYPERLINK \l "_Toc149517449" \h </w:instrText>
          </w:r>
          <w:r>
            <w:fldChar w:fldCharType="separate"/>
          </w:r>
          <w:r>
            <w:rPr>
              <w:rStyle w:val="126"/>
              <w:rFonts w:ascii="Times New Roman" w:hAnsi="Times New Roman"/>
              <w:vanish w:val="0"/>
              <w:sz w:val="22"/>
              <w:szCs w:val="22"/>
            </w:rPr>
            <w:t>27.</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HABILITAÇÃO JURÍDICA</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23</w:t>
          </w:r>
        </w:p>
        <w:p>
          <w:pPr>
            <w:pStyle w:val="41"/>
            <w:tabs>
              <w:tab w:val="left" w:pos="660"/>
              <w:tab w:val="right" w:leader="dot" w:pos="8921"/>
            </w:tabs>
          </w:pPr>
          <w:r>
            <w:fldChar w:fldCharType="begin"/>
          </w:r>
          <w:r>
            <w:instrText xml:space="preserve"> HYPERLINK \l "_Toc149517450" \h </w:instrText>
          </w:r>
          <w:r>
            <w:fldChar w:fldCharType="separate"/>
          </w:r>
          <w:r>
            <w:rPr>
              <w:rStyle w:val="126"/>
              <w:rFonts w:ascii="Times New Roman" w:hAnsi="Times New Roman"/>
              <w:vanish w:val="0"/>
              <w:sz w:val="22"/>
              <w:szCs w:val="22"/>
            </w:rPr>
            <w:t>28.</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QUALIFICAÇÃO TÉCNICO-PROFISSIONAL E TÉCNICO-OPERACIONAL</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t>2</w:t>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4</w:t>
          </w:r>
        </w:p>
        <w:p>
          <w:pPr>
            <w:pStyle w:val="41"/>
            <w:tabs>
              <w:tab w:val="left" w:pos="660"/>
              <w:tab w:val="right" w:leader="dot" w:pos="8921"/>
            </w:tabs>
          </w:pPr>
          <w:r>
            <w:fldChar w:fldCharType="begin"/>
          </w:r>
          <w:r>
            <w:instrText xml:space="preserve"> HYPERLINK \l "_Toc149517451" \h </w:instrText>
          </w:r>
          <w:r>
            <w:fldChar w:fldCharType="separate"/>
          </w:r>
          <w:r>
            <w:rPr>
              <w:rStyle w:val="126"/>
              <w:rFonts w:ascii="Times New Roman" w:hAnsi="Times New Roman"/>
              <w:vanish w:val="0"/>
              <w:sz w:val="22"/>
              <w:szCs w:val="22"/>
            </w:rPr>
            <w:t>29.</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REGULARIDADE FISCAL, SOCIAL E TRABALHISTA</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t>2</w:t>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4</w:t>
          </w:r>
        </w:p>
        <w:p>
          <w:pPr>
            <w:pStyle w:val="41"/>
            <w:tabs>
              <w:tab w:val="left" w:pos="660"/>
              <w:tab w:val="right" w:leader="dot" w:pos="8921"/>
            </w:tabs>
          </w:pPr>
          <w:r>
            <w:fldChar w:fldCharType="begin"/>
          </w:r>
          <w:r>
            <w:instrText xml:space="preserve"> HYPERLINK \l "_Toc149517452" \h </w:instrText>
          </w:r>
          <w:r>
            <w:fldChar w:fldCharType="separate"/>
          </w:r>
          <w:r>
            <w:rPr>
              <w:rStyle w:val="126"/>
              <w:rFonts w:ascii="Times New Roman" w:hAnsi="Times New Roman"/>
              <w:vanish w:val="0"/>
              <w:sz w:val="22"/>
              <w:szCs w:val="22"/>
            </w:rPr>
            <w:t>30.</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HABILITAÇÃO ECONÔMICO-FINANCEIRA</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t>2</w:t>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4</w:t>
          </w:r>
        </w:p>
        <w:p>
          <w:pPr>
            <w:pStyle w:val="41"/>
            <w:tabs>
              <w:tab w:val="left" w:pos="660"/>
              <w:tab w:val="right" w:leader="dot" w:pos="8921"/>
            </w:tabs>
          </w:pPr>
          <w:r>
            <w:fldChar w:fldCharType="begin"/>
          </w:r>
          <w:r>
            <w:instrText xml:space="preserve"> HYPERLINK \l "_Toc149517453" \h </w:instrText>
          </w:r>
          <w:r>
            <w:fldChar w:fldCharType="separate"/>
          </w:r>
          <w:r>
            <w:rPr>
              <w:rStyle w:val="126"/>
              <w:rFonts w:ascii="Times New Roman" w:hAnsi="Times New Roman"/>
              <w:vanish w:val="0"/>
              <w:sz w:val="22"/>
              <w:szCs w:val="22"/>
            </w:rPr>
            <w:t>31.</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OUTROS DOCUMENTOS</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24</w:t>
          </w:r>
        </w:p>
        <w:p>
          <w:pPr>
            <w:pStyle w:val="41"/>
            <w:tabs>
              <w:tab w:val="left" w:pos="660"/>
              <w:tab w:val="right" w:leader="dot" w:pos="8921"/>
            </w:tabs>
          </w:pPr>
          <w:r>
            <w:fldChar w:fldCharType="begin"/>
          </w:r>
          <w:r>
            <w:instrText xml:space="preserve"> HYPERLINK \l "_Toc149517454" \h </w:instrText>
          </w:r>
          <w:r>
            <w:fldChar w:fldCharType="separate"/>
          </w:r>
          <w:r>
            <w:rPr>
              <w:rStyle w:val="126"/>
              <w:rFonts w:ascii="Times New Roman" w:hAnsi="Times New Roman"/>
              <w:vanish w:val="0"/>
              <w:sz w:val="22"/>
              <w:szCs w:val="22"/>
            </w:rPr>
            <w:t>32.</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ENCAMINHAMENTO DA PROPOSTA VENCEDORA</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25</w:t>
          </w:r>
        </w:p>
        <w:p>
          <w:pPr>
            <w:pStyle w:val="41"/>
            <w:tabs>
              <w:tab w:val="left" w:pos="660"/>
              <w:tab w:val="right" w:leader="dot" w:pos="8921"/>
            </w:tabs>
          </w:pPr>
          <w:r>
            <w:fldChar w:fldCharType="begin"/>
          </w:r>
          <w:r>
            <w:instrText xml:space="preserve"> HYPERLINK \l "_Toc149517455" \h </w:instrText>
          </w:r>
          <w:r>
            <w:fldChar w:fldCharType="separate"/>
          </w:r>
          <w:r>
            <w:rPr>
              <w:rStyle w:val="126"/>
              <w:rFonts w:ascii="Times New Roman" w:hAnsi="Times New Roman"/>
              <w:vanish w:val="0"/>
              <w:sz w:val="22"/>
              <w:szCs w:val="22"/>
            </w:rPr>
            <w:t>33.</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RECURSO(S) ADMINISTRATIVO(S)</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25</w:t>
          </w:r>
        </w:p>
        <w:p>
          <w:pPr>
            <w:pStyle w:val="41"/>
            <w:tabs>
              <w:tab w:val="left" w:pos="660"/>
              <w:tab w:val="right" w:leader="dot" w:pos="8921"/>
            </w:tabs>
          </w:pPr>
          <w:r>
            <w:fldChar w:fldCharType="begin"/>
          </w:r>
          <w:r>
            <w:instrText xml:space="preserve"> HYPERLINK \l "_Toc149517456" \h </w:instrText>
          </w:r>
          <w:r>
            <w:fldChar w:fldCharType="separate"/>
          </w:r>
          <w:r>
            <w:rPr>
              <w:rStyle w:val="126"/>
              <w:rFonts w:ascii="Times New Roman" w:hAnsi="Times New Roman"/>
              <w:vanish w:val="0"/>
              <w:sz w:val="22"/>
              <w:szCs w:val="22"/>
            </w:rPr>
            <w:t>34.</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REABERTURA DA SESSÃO PÚBLICA</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27</w:t>
          </w:r>
        </w:p>
        <w:p>
          <w:pPr>
            <w:pStyle w:val="41"/>
            <w:tabs>
              <w:tab w:val="left" w:pos="660"/>
              <w:tab w:val="right" w:leader="dot" w:pos="8921"/>
            </w:tabs>
          </w:pPr>
          <w:r>
            <w:fldChar w:fldCharType="begin"/>
          </w:r>
          <w:r>
            <w:instrText xml:space="preserve"> HYPERLINK \l "_Toc149517457" \h </w:instrText>
          </w:r>
          <w:r>
            <w:fldChar w:fldCharType="separate"/>
          </w:r>
          <w:r>
            <w:rPr>
              <w:rStyle w:val="126"/>
              <w:rFonts w:ascii="Times New Roman" w:hAnsi="Times New Roman"/>
              <w:vanish w:val="0"/>
              <w:sz w:val="22"/>
              <w:szCs w:val="22"/>
            </w:rPr>
            <w:t>35.</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ENCERRAMENTO DA LICITAÇÃO</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28</w:t>
          </w:r>
        </w:p>
        <w:p>
          <w:pPr>
            <w:pStyle w:val="41"/>
            <w:tabs>
              <w:tab w:val="left" w:pos="660"/>
              <w:tab w:val="right" w:leader="dot" w:pos="8921"/>
            </w:tabs>
          </w:pPr>
          <w:r>
            <w:fldChar w:fldCharType="begin"/>
          </w:r>
          <w:r>
            <w:instrText xml:space="preserve"> HYPERLINK \l "_Toc149517458" \h </w:instrText>
          </w:r>
          <w:r>
            <w:fldChar w:fldCharType="separate"/>
          </w:r>
          <w:r>
            <w:rPr>
              <w:rStyle w:val="126"/>
              <w:rFonts w:ascii="Times New Roman" w:hAnsi="Times New Roman"/>
              <w:vanish w:val="0"/>
              <w:sz w:val="22"/>
              <w:szCs w:val="22"/>
            </w:rPr>
            <w:t>36.</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REGISTRO DE PREÇOS</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28</w:t>
          </w:r>
        </w:p>
        <w:p>
          <w:pPr>
            <w:pStyle w:val="41"/>
            <w:tabs>
              <w:tab w:val="left" w:pos="660"/>
              <w:tab w:val="right" w:leader="dot" w:pos="8921"/>
            </w:tabs>
          </w:pPr>
          <w:r>
            <w:fldChar w:fldCharType="begin"/>
          </w:r>
          <w:r>
            <w:instrText xml:space="preserve"> HYPERLINK \l "_Toc149517459" \h </w:instrText>
          </w:r>
          <w:r>
            <w:fldChar w:fldCharType="separate"/>
          </w:r>
          <w:r>
            <w:rPr>
              <w:rStyle w:val="126"/>
              <w:rFonts w:ascii="Times New Roman" w:hAnsi="Times New Roman"/>
              <w:vanish w:val="0"/>
              <w:sz w:val="22"/>
              <w:szCs w:val="22"/>
            </w:rPr>
            <w:t>37.</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FORMAÇÃO DO CADASTRO DE RESERVA</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29</w:t>
          </w:r>
        </w:p>
        <w:p>
          <w:pPr>
            <w:pStyle w:val="41"/>
            <w:tabs>
              <w:tab w:val="left" w:pos="660"/>
              <w:tab w:val="right" w:leader="dot" w:pos="8921"/>
            </w:tabs>
          </w:pPr>
          <w:r>
            <w:fldChar w:fldCharType="begin"/>
          </w:r>
          <w:r>
            <w:instrText xml:space="preserve"> HYPERLINK \l "_Toc149517460" \h </w:instrText>
          </w:r>
          <w:r>
            <w:fldChar w:fldCharType="separate"/>
          </w:r>
          <w:r>
            <w:rPr>
              <w:rStyle w:val="126"/>
              <w:rFonts w:ascii="Times New Roman" w:hAnsi="Times New Roman"/>
              <w:vanish w:val="0"/>
              <w:sz w:val="22"/>
              <w:szCs w:val="22"/>
            </w:rPr>
            <w:t>38.</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CONTRATAÇÃO</w:t>
          </w:r>
          <w:r>
            <w:rPr>
              <w:rStyle w:val="126"/>
              <w:rFonts w:hint="default" w:ascii="Times New Roman" w:hAnsi="Times New Roman"/>
              <w:sz w:val="22"/>
              <w:szCs w:val="22"/>
              <w:lang w:val="pt-BR"/>
            </w:rPr>
            <w:t>....................................................................................................................</w:t>
          </w:r>
          <w:r>
            <w:fldChar w:fldCharType="begin"/>
          </w:r>
          <w:r>
            <w:instrText xml:space="preserve">PAGEREF _Toc149517460 \h</w:instrText>
          </w:r>
          <w:r>
            <w:fldChar w:fldCharType="separate"/>
          </w:r>
          <w:r>
            <w:t>30</w:t>
          </w:r>
          <w:r>
            <w:fldChar w:fldCharType="end"/>
          </w:r>
          <w:r>
            <w:fldChar w:fldCharType="end"/>
          </w:r>
        </w:p>
        <w:p>
          <w:pPr>
            <w:pStyle w:val="41"/>
            <w:tabs>
              <w:tab w:val="left" w:pos="660"/>
              <w:tab w:val="right" w:leader="dot" w:pos="8921"/>
            </w:tabs>
          </w:pPr>
          <w:r>
            <w:fldChar w:fldCharType="begin"/>
          </w:r>
          <w:r>
            <w:instrText xml:space="preserve"> HYPERLINK \l "_Toc149517461" \h </w:instrText>
          </w:r>
          <w:r>
            <w:fldChar w:fldCharType="separate"/>
          </w:r>
          <w:r>
            <w:rPr>
              <w:rStyle w:val="126"/>
              <w:rFonts w:ascii="Times New Roman" w:hAnsi="Times New Roman"/>
              <w:vanish w:val="0"/>
              <w:sz w:val="22"/>
              <w:szCs w:val="22"/>
            </w:rPr>
            <w:t>39.</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SANÇÕES ADMINISTRATIVAS DE LICITAÇÃO</w:t>
          </w:r>
          <w:r>
            <w:rPr>
              <w:rStyle w:val="126"/>
              <w:rFonts w:hint="default" w:ascii="Times New Roman" w:hAnsi="Times New Roman"/>
              <w:sz w:val="22"/>
              <w:szCs w:val="22"/>
              <w:lang w:val="pt-BR"/>
            </w:rPr>
            <w:t>.............................................................</w:t>
          </w:r>
          <w:r>
            <w:fldChar w:fldCharType="begin"/>
          </w:r>
          <w:r>
            <w:instrText xml:space="preserve">PAGEREF _Toc149517461 \h</w:instrText>
          </w:r>
          <w:r>
            <w:fldChar w:fldCharType="separate"/>
          </w:r>
          <w:r>
            <w:t>31</w:t>
          </w:r>
          <w:r>
            <w:fldChar w:fldCharType="end"/>
          </w:r>
          <w:r>
            <w:fldChar w:fldCharType="end"/>
          </w:r>
        </w:p>
        <w:p>
          <w:pPr>
            <w:pStyle w:val="41"/>
            <w:tabs>
              <w:tab w:val="left" w:pos="660"/>
              <w:tab w:val="right" w:leader="dot" w:pos="8921"/>
            </w:tabs>
          </w:pPr>
          <w:r>
            <w:fldChar w:fldCharType="begin"/>
          </w:r>
          <w:r>
            <w:instrText xml:space="preserve"> HYPERLINK \l "_Toc149517462" \h </w:instrText>
          </w:r>
          <w:r>
            <w:fldChar w:fldCharType="separate"/>
          </w:r>
          <w:r>
            <w:rPr>
              <w:rStyle w:val="126"/>
              <w:rFonts w:ascii="Times New Roman" w:hAnsi="Times New Roman"/>
              <w:vanish w:val="0"/>
              <w:sz w:val="22"/>
              <w:szCs w:val="22"/>
            </w:rPr>
            <w:t>40.</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PROTEÇÃO DOS DADOS NA LICITAÇÃO</w:t>
          </w:r>
          <w:r>
            <w:rPr>
              <w:rStyle w:val="126"/>
              <w:rFonts w:hint="default" w:ascii="Times New Roman" w:hAnsi="Times New Roman"/>
              <w:sz w:val="22"/>
              <w:szCs w:val="22"/>
              <w:lang w:val="pt-BR"/>
            </w:rPr>
            <w:t>........................................................................</w:t>
          </w:r>
          <w:r>
            <w:fldChar w:fldCharType="begin"/>
          </w:r>
          <w:r>
            <w:instrText xml:space="preserve">PAGEREF _Toc149517462 \h</w:instrText>
          </w:r>
          <w:r>
            <w:fldChar w:fldCharType="separate"/>
          </w:r>
          <w:r>
            <w:t>32</w:t>
          </w:r>
          <w:r>
            <w:fldChar w:fldCharType="end"/>
          </w:r>
          <w:r>
            <w:fldChar w:fldCharType="end"/>
          </w:r>
        </w:p>
        <w:p>
          <w:pPr>
            <w:pStyle w:val="41"/>
            <w:tabs>
              <w:tab w:val="left" w:pos="660"/>
              <w:tab w:val="right" w:leader="dot" w:pos="8921"/>
            </w:tabs>
          </w:pPr>
          <w:r>
            <w:fldChar w:fldCharType="begin"/>
          </w:r>
          <w:r>
            <w:instrText xml:space="preserve"> HYPERLINK \l "_Toc149517463" \h </w:instrText>
          </w:r>
          <w:r>
            <w:fldChar w:fldCharType="separate"/>
          </w:r>
          <w:r>
            <w:rPr>
              <w:rStyle w:val="126"/>
              <w:rFonts w:ascii="Times New Roman" w:hAnsi="Times New Roman"/>
              <w:vanish w:val="0"/>
              <w:sz w:val="22"/>
              <w:szCs w:val="22"/>
            </w:rPr>
            <w:t>41.</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CRÉDITOS ORÇAMENTÁRIOS </w:t>
          </w:r>
          <w:r>
            <w:rPr>
              <w:rStyle w:val="126"/>
              <w:rFonts w:hint="default" w:ascii="Times New Roman" w:hAnsi="Times New Roman"/>
              <w:sz w:val="22"/>
              <w:szCs w:val="22"/>
              <w:lang w:val="pt-BR"/>
            </w:rPr>
            <w:t>..........................................................................................</w:t>
          </w:r>
          <w:r>
            <w:fldChar w:fldCharType="begin"/>
          </w:r>
          <w:r>
            <w:instrText xml:space="preserve">PAGEREF _Toc149517463 \h</w:instrText>
          </w:r>
          <w:r>
            <w:fldChar w:fldCharType="separate"/>
          </w:r>
          <w:r>
            <w:t>32</w:t>
          </w:r>
          <w:r>
            <w:fldChar w:fldCharType="end"/>
          </w:r>
          <w:r>
            <w:fldChar w:fldCharType="end"/>
          </w:r>
        </w:p>
        <w:p>
          <w:pPr>
            <w:pStyle w:val="41"/>
            <w:tabs>
              <w:tab w:val="left" w:pos="660"/>
              <w:tab w:val="right" w:leader="dot" w:pos="8921"/>
            </w:tabs>
          </w:pPr>
          <w:r>
            <w:fldChar w:fldCharType="begin"/>
          </w:r>
          <w:r>
            <w:instrText xml:space="preserve"> HYPERLINK \l "_Toc149517465" \h </w:instrText>
          </w:r>
          <w:r>
            <w:fldChar w:fldCharType="separate"/>
          </w:r>
          <w:r>
            <w:rPr>
              <w:rStyle w:val="126"/>
              <w:rFonts w:ascii="Times New Roman" w:hAnsi="Times New Roman"/>
              <w:vanish w:val="0"/>
              <w:sz w:val="22"/>
              <w:szCs w:val="22"/>
            </w:rPr>
            <w:t>42.</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FORO</w:t>
          </w:r>
          <w:r>
            <w:rPr>
              <w:rStyle w:val="126"/>
              <w:rFonts w:hint="default" w:ascii="Times New Roman" w:hAnsi="Times New Roman"/>
              <w:sz w:val="22"/>
              <w:szCs w:val="22"/>
              <w:lang w:val="pt-BR"/>
            </w:rPr>
            <w:t>.......................................................................................................................................</w:t>
          </w:r>
          <w:r>
            <w:fldChar w:fldCharType="begin"/>
          </w:r>
          <w:r>
            <w:instrText xml:space="preserve">PAGEREF _Toc149517465 \h</w:instrText>
          </w:r>
          <w:r>
            <w:fldChar w:fldCharType="separate"/>
          </w:r>
          <w:r>
            <w:t>34</w:t>
          </w:r>
          <w:r>
            <w:fldChar w:fldCharType="end"/>
          </w:r>
          <w:r>
            <w:fldChar w:fldCharType="end"/>
          </w:r>
        </w:p>
        <w:p>
          <w:pPr>
            <w:pStyle w:val="41"/>
            <w:tabs>
              <w:tab w:val="right" w:leader="dot" w:pos="8921"/>
            </w:tabs>
          </w:pPr>
          <w:r>
            <w:fldChar w:fldCharType="begin"/>
          </w:r>
          <w:r>
            <w:instrText xml:space="preserve"> HYPERLINK \l "_Toc149517466" \h </w:instrText>
          </w:r>
          <w:r>
            <w:fldChar w:fldCharType="separate"/>
          </w:r>
          <w:r>
            <w:rPr>
              <w:rStyle w:val="126"/>
              <w:rFonts w:ascii="Times New Roman" w:hAnsi="Times New Roman"/>
              <w:vanish w:val="0"/>
              <w:sz w:val="22"/>
              <w:szCs w:val="22"/>
            </w:rPr>
            <w:t>ANEXO I - TERMO DE REFERÊNCIA</w:t>
          </w:r>
          <w:r>
            <w:rPr>
              <w:rStyle w:val="126"/>
              <w:rFonts w:hint="default" w:ascii="Times New Roman" w:hAnsi="Times New Roman"/>
              <w:vanish w:val="0"/>
              <w:sz w:val="22"/>
              <w:szCs w:val="22"/>
              <w:lang w:val="pt-BR"/>
            </w:rPr>
            <w:t>............................................................................................</w:t>
          </w:r>
          <w:r>
            <w:fldChar w:fldCharType="begin"/>
          </w:r>
          <w:r>
            <w:instrText xml:space="preserve">PAGEREF _Toc149517466 \h</w:instrText>
          </w:r>
          <w:r>
            <w:fldChar w:fldCharType="separate"/>
          </w:r>
          <w:r>
            <w:t>35</w:t>
          </w:r>
          <w:r>
            <w:fldChar w:fldCharType="end"/>
          </w:r>
          <w:r>
            <w:fldChar w:fldCharType="end"/>
          </w:r>
        </w:p>
        <w:p>
          <w:pPr>
            <w:pStyle w:val="41"/>
            <w:tabs>
              <w:tab w:val="right" w:leader="dot" w:pos="8921"/>
            </w:tabs>
          </w:pPr>
          <w:r>
            <w:fldChar w:fldCharType="begin"/>
          </w:r>
          <w:r>
            <w:instrText xml:space="preserve"> HYPERLINK \l "_Toc149517467" \h </w:instrText>
          </w:r>
          <w:r>
            <w:fldChar w:fldCharType="separate"/>
          </w:r>
          <w:r>
            <w:rPr>
              <w:rStyle w:val="126"/>
              <w:rFonts w:ascii="Times New Roman" w:hAnsi="Times New Roman"/>
              <w:vanish w:val="0"/>
              <w:sz w:val="22"/>
              <w:szCs w:val="22"/>
            </w:rPr>
            <w:t>ANEXO II - MODELO DE DECLARAÇÕES</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44</w:t>
          </w:r>
        </w:p>
        <w:p>
          <w:pPr>
            <w:pStyle w:val="41"/>
            <w:tabs>
              <w:tab w:val="right" w:leader="dot" w:pos="8921"/>
            </w:tabs>
          </w:pPr>
          <w:r>
            <w:fldChar w:fldCharType="begin"/>
          </w:r>
          <w:r>
            <w:instrText xml:space="preserve"> HYPERLINK \l "_Toc149517468" \h </w:instrText>
          </w:r>
          <w:r>
            <w:fldChar w:fldCharType="separate"/>
          </w:r>
          <w:r>
            <w:rPr>
              <w:rStyle w:val="126"/>
              <w:rFonts w:ascii="Times New Roman" w:hAnsi="Times New Roman"/>
              <w:vanish w:val="0"/>
              <w:sz w:val="22"/>
              <w:szCs w:val="22"/>
            </w:rPr>
            <w:t>ANEXO III - MODELO DE PROPOSTA</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45</w:t>
          </w:r>
        </w:p>
        <w:p>
          <w:pPr>
            <w:pStyle w:val="41"/>
            <w:tabs>
              <w:tab w:val="right" w:leader="dot" w:pos="8921"/>
            </w:tabs>
          </w:pPr>
          <w:r>
            <w:fldChar w:fldCharType="begin"/>
          </w:r>
          <w:r>
            <w:instrText xml:space="preserve"> HYPERLINK \l "_Toc149517469" \h </w:instrText>
          </w:r>
          <w:r>
            <w:fldChar w:fldCharType="separate"/>
          </w:r>
          <w:r>
            <w:rPr>
              <w:rStyle w:val="126"/>
              <w:rFonts w:ascii="Times New Roman" w:hAnsi="Times New Roman"/>
              <w:vanish w:val="0"/>
              <w:sz w:val="22"/>
              <w:szCs w:val="22"/>
            </w:rPr>
            <w:t>ANEXO IV - MINUTA DA ATA DE REGISTRO DE PREÇOS</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46</w:t>
          </w:r>
        </w:p>
        <w:p>
          <w:pPr>
            <w:pStyle w:val="41"/>
            <w:tabs>
              <w:tab w:val="right" w:leader="dot" w:pos="8921"/>
            </w:tabs>
          </w:pPr>
          <w:r>
            <w:fldChar w:fldCharType="begin"/>
          </w:r>
          <w:r>
            <w:instrText xml:space="preserve"> HYPERLINK \l "_Toc149517470" \h </w:instrText>
          </w:r>
          <w:r>
            <w:fldChar w:fldCharType="separate"/>
          </w:r>
          <w:r>
            <w:rPr>
              <w:rStyle w:val="126"/>
              <w:rFonts w:ascii="Times New Roman" w:hAnsi="Times New Roman"/>
              <w:vanish w:val="0"/>
              <w:sz w:val="22"/>
              <w:szCs w:val="22"/>
            </w:rPr>
            <w:t>ANEXO V - MINUTA DO INSTRUMENTO DE CONTRATO</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60</w:t>
          </w:r>
          <w:r>
            <w:rPr>
              <w:rFonts w:ascii="Times New Roman" w:hAnsi="Times New Roman" w:cs="Times New Roman"/>
              <w:vanish w:val="0"/>
              <w:sz w:val="22"/>
              <w:szCs w:val="22"/>
            </w:rPr>
            <w:fldChar w:fldCharType="end"/>
          </w:r>
        </w:p>
      </w:sdtContent>
    </w:sdt>
    <w:p>
      <w:pPr>
        <w:pStyle w:val="2"/>
        <w:spacing w:before="360" w:after="0"/>
      </w:pPr>
      <w:bookmarkStart w:id="0" w:name="_Toc149517427"/>
      <w:r>
        <w:rPr>
          <w:rStyle w:val="45"/>
          <w:sz w:val="22"/>
          <w:szCs w:val="22"/>
        </w:rPr>
        <w:t>PUBLICIDADE</w:t>
      </w:r>
      <w:bookmarkEnd w:id="0"/>
    </w:p>
    <w:p>
      <w:pPr>
        <w:pStyle w:val="3"/>
        <w:numPr>
          <w:ilvl w:val="1"/>
          <w:numId w:val="1"/>
        </w:numPr>
        <w:tabs>
          <w:tab w:val="left" w:pos="1134"/>
        </w:tabs>
        <w:spacing w:before="120" w:beforeAutospacing="0" w:after="0" w:afterAutospacing="0"/>
        <w:ind w:left="0" w:firstLine="567"/>
        <w:jc w:val="both"/>
        <w:textAlignment w:val="baseline"/>
      </w:pPr>
      <w:r>
        <w:rPr>
          <w:sz w:val="22"/>
          <w:szCs w:val="22"/>
        </w:rPr>
        <w:t xml:space="preserve">A publicidade deste Edital será realizada mediante divulgação e manutenção do inteiro teor do ato convocatório e de seus anexos no Portal Nacional de Contratações Públicas - PNCP, disponível no endereço eletrônico: </w:t>
      </w:r>
      <w:r>
        <w:fldChar w:fldCharType="begin"/>
      </w:r>
      <w:r>
        <w:instrText xml:space="preserve"> HYPERLINK "https://pncp.gov.br/" \h </w:instrText>
      </w:r>
      <w:r>
        <w:fldChar w:fldCharType="separate"/>
      </w:r>
      <w:r>
        <w:rPr>
          <w:rStyle w:val="54"/>
          <w:sz w:val="22"/>
          <w:szCs w:val="22"/>
        </w:rPr>
        <w:t>https://pncp.gov.br/</w:t>
      </w:r>
      <w:r>
        <w:rPr>
          <w:rStyle w:val="54"/>
          <w:sz w:val="22"/>
          <w:szCs w:val="22"/>
        </w:rPr>
        <w:fldChar w:fldCharType="end"/>
      </w:r>
      <w:r>
        <w:rPr>
          <w:sz w:val="22"/>
          <w:szCs w:val="22"/>
        </w:rPr>
        <w:t xml:space="preserve">, nos termos fixados nos </w:t>
      </w:r>
      <w:r>
        <w:fldChar w:fldCharType="begin"/>
      </w:r>
      <w:r>
        <w:rPr>
          <w:rStyle w:val="54"/>
          <w:sz w:val="22"/>
          <w:szCs w:val="22"/>
        </w:rPr>
        <w:instrText xml:space="preserve"> HYPERLINK "https://www.planalto.gov.br/ccivil_03/_ato2019-2022/2021/lei/l14133.htm" \l "art54"</w:instrText>
      </w:r>
      <w:r>
        <w:rPr>
          <w:rStyle w:val="54"/>
          <w:sz w:val="22"/>
          <w:szCs w:val="22"/>
        </w:rPr>
        <w:fldChar w:fldCharType="separate"/>
      </w:r>
      <w:r>
        <w:rPr>
          <w:rStyle w:val="54"/>
          <w:sz w:val="22"/>
          <w:szCs w:val="22"/>
        </w:rPr>
        <w:t>art. 54 da Lei Federal nº 14.133, de 2021</w:t>
      </w:r>
      <w:r>
        <w:rPr>
          <w:rStyle w:val="54"/>
          <w:sz w:val="22"/>
          <w:szCs w:val="22"/>
        </w:rPr>
        <w:fldChar w:fldCharType="end"/>
      </w:r>
      <w:r>
        <w:rPr>
          <w:sz w:val="22"/>
          <w:szCs w:val="22"/>
        </w:rPr>
        <w:t>.</w:t>
      </w:r>
    </w:p>
    <w:p>
      <w:pPr>
        <w:pStyle w:val="3"/>
        <w:numPr>
          <w:ilvl w:val="1"/>
          <w:numId w:val="1"/>
        </w:numPr>
        <w:tabs>
          <w:tab w:val="left" w:pos="1134"/>
        </w:tabs>
        <w:spacing w:before="0" w:beforeAutospacing="0" w:after="0" w:afterAutospacing="0"/>
        <w:ind w:left="0" w:firstLine="567"/>
        <w:jc w:val="both"/>
        <w:textAlignment w:val="baseline"/>
      </w:pPr>
      <w:r>
        <w:rPr>
          <w:sz w:val="22"/>
          <w:szCs w:val="22"/>
        </w:rPr>
        <w:t xml:space="preserve">O presente Edital também será publicado, em forma de AVISO, no </w:t>
      </w:r>
      <w:r>
        <w:fldChar w:fldCharType="begin"/>
      </w:r>
      <w:r>
        <w:instrText xml:space="preserve"> HYPERLINK "https://www.in.gov.br/servicos/diario-oficial-da-uniao" \h </w:instrText>
      </w:r>
      <w:r>
        <w:fldChar w:fldCharType="separate"/>
      </w:r>
      <w:r>
        <w:rPr>
          <w:rStyle w:val="54"/>
          <w:sz w:val="22"/>
          <w:szCs w:val="22"/>
        </w:rPr>
        <w:t>Diário Oficial</w:t>
      </w:r>
      <w:r>
        <w:rPr>
          <w:rStyle w:val="54"/>
          <w:sz w:val="22"/>
          <w:szCs w:val="22"/>
        </w:rPr>
        <w:fldChar w:fldCharType="end"/>
      </w:r>
      <w:r>
        <w:rPr>
          <w:sz w:val="22"/>
          <w:szCs w:val="22"/>
        </w:rPr>
        <w:t>, bem como em jornal diário de grande circulação (</w:t>
      </w:r>
      <w:r>
        <w:fldChar w:fldCharType="begin"/>
      </w:r>
      <w:r>
        <w:rPr>
          <w:rStyle w:val="54"/>
          <w:sz w:val="22"/>
          <w:szCs w:val="22"/>
        </w:rPr>
        <w:instrText xml:space="preserve"> HYPERLINK "https://www.planalto.gov.br/ccivil_03/_ato2019-2022/2021/lei/l14133.htm" \l "art54"</w:instrText>
      </w:r>
      <w:r>
        <w:rPr>
          <w:rStyle w:val="54"/>
          <w:sz w:val="22"/>
          <w:szCs w:val="22"/>
        </w:rPr>
        <w:fldChar w:fldCharType="separate"/>
      </w:r>
      <w:r>
        <w:rPr>
          <w:rStyle w:val="54"/>
          <w:sz w:val="22"/>
          <w:szCs w:val="22"/>
        </w:rPr>
        <w:t>art. 54, § 1º, da Lei Federal nº 14.133, de 2021</w:t>
      </w:r>
      <w:r>
        <w:rPr>
          <w:rStyle w:val="54"/>
          <w:sz w:val="22"/>
          <w:szCs w:val="22"/>
        </w:rPr>
        <w:fldChar w:fldCharType="end"/>
      </w:r>
      <w:r>
        <w:rPr>
          <w:sz w:val="22"/>
          <w:szCs w:val="22"/>
        </w:rPr>
        <w:t>).</w:t>
      </w:r>
    </w:p>
    <w:p>
      <w:pPr>
        <w:pStyle w:val="3"/>
        <w:numPr>
          <w:ilvl w:val="1"/>
          <w:numId w:val="1"/>
        </w:numPr>
        <w:tabs>
          <w:tab w:val="left" w:pos="1134"/>
        </w:tabs>
        <w:spacing w:before="0" w:beforeAutospacing="0" w:after="0" w:afterAutospacing="0"/>
        <w:ind w:left="0" w:firstLine="567"/>
        <w:jc w:val="both"/>
        <w:textAlignment w:val="baseline"/>
      </w:pPr>
      <w:r>
        <w:rPr>
          <w:sz w:val="22"/>
          <w:szCs w:val="22"/>
        </w:rPr>
        <w:t xml:space="preserve">A íntegra do presente Edital e seus Anexos, bem como todos os documentos, os esclarecimentos, impugnações, atos decisórios do procedimento licitatório durante a FASE EXTERNA serão divulgados no Portal Licitanet, disponível no endereço eletrônico: </w:t>
      </w:r>
      <w:r>
        <w:fldChar w:fldCharType="begin"/>
      </w:r>
      <w:r>
        <w:instrText xml:space="preserve"> HYPERLINK "https://www.licitanet.com.br/" \h </w:instrText>
      </w:r>
      <w:r>
        <w:fldChar w:fldCharType="separate"/>
      </w:r>
      <w:r>
        <w:rPr>
          <w:rStyle w:val="54"/>
          <w:sz w:val="22"/>
          <w:szCs w:val="22"/>
        </w:rPr>
        <w:t>https://www.licitanet.com.br/</w:t>
      </w:r>
      <w:r>
        <w:rPr>
          <w:rStyle w:val="54"/>
          <w:sz w:val="22"/>
          <w:szCs w:val="22"/>
        </w:rPr>
        <w:fldChar w:fldCharType="end"/>
      </w:r>
      <w:r>
        <w:rPr>
          <w:sz w:val="22"/>
          <w:szCs w:val="22"/>
        </w:rPr>
        <w:t xml:space="preserve">, e no sítio internet da Câmara Municipal de Primavera do Leste - MT, disponível no endereço eletrônico: </w:t>
      </w:r>
      <w:r>
        <w:fldChar w:fldCharType="begin"/>
      </w:r>
      <w:r>
        <w:instrText xml:space="preserve"> HYPERLINK "https://www.primaveradoleste.mt.leg.br/" \h </w:instrText>
      </w:r>
      <w:r>
        <w:fldChar w:fldCharType="separate"/>
      </w:r>
      <w:r>
        <w:rPr>
          <w:rStyle w:val="54"/>
          <w:sz w:val="22"/>
          <w:szCs w:val="22"/>
        </w:rPr>
        <w:t>https://www.primaveradoleste.mt.leg.br/</w:t>
      </w:r>
      <w:r>
        <w:rPr>
          <w:rStyle w:val="54"/>
          <w:sz w:val="22"/>
          <w:szCs w:val="22"/>
        </w:rPr>
        <w:fldChar w:fldCharType="end"/>
      </w:r>
      <w:r>
        <w:rPr>
          <w:sz w:val="22"/>
          <w:szCs w:val="22"/>
        </w:rPr>
        <w:t>.</w:t>
      </w:r>
    </w:p>
    <w:p>
      <w:pPr>
        <w:pStyle w:val="2"/>
        <w:spacing w:before="360" w:after="0"/>
      </w:pPr>
      <w:bookmarkStart w:id="1" w:name="_Toc149517428"/>
      <w:r>
        <w:rPr>
          <w:rStyle w:val="45"/>
          <w:sz w:val="22"/>
          <w:szCs w:val="22"/>
        </w:rPr>
        <w:t>PLATAFORMA ELETRÔNICA</w:t>
      </w:r>
      <w:bookmarkEnd w:id="1"/>
    </w:p>
    <w:p>
      <w:pPr>
        <w:pStyle w:val="3"/>
        <w:numPr>
          <w:ilvl w:val="1"/>
          <w:numId w:val="1"/>
        </w:numPr>
        <w:tabs>
          <w:tab w:val="left" w:pos="1134"/>
        </w:tabs>
        <w:spacing w:before="120" w:beforeAutospacing="0" w:after="0" w:afterAutospacing="0"/>
        <w:ind w:left="0" w:firstLine="567"/>
        <w:jc w:val="both"/>
        <w:textAlignment w:val="baseline"/>
      </w:pPr>
      <w:r>
        <w:rPr>
          <w:sz w:val="22"/>
          <w:szCs w:val="22"/>
        </w:rPr>
        <w:t>O Pregão</w:t>
      </w:r>
      <w:r>
        <w:rPr>
          <w:rStyle w:val="45"/>
          <w:color w:val="000000"/>
          <w:sz w:val="22"/>
          <w:szCs w:val="22"/>
        </w:rPr>
        <w:t>, em sua forma eletrônica (</w:t>
      </w:r>
      <w:r>
        <w:fldChar w:fldCharType="begin"/>
      </w:r>
      <w:r>
        <w:rPr>
          <w:rStyle w:val="54"/>
          <w:sz w:val="22"/>
          <w:szCs w:val="22"/>
        </w:rPr>
        <w:instrText xml:space="preserve"> HYPERLINK "http://www.planalto.gov.br/ccivil_03/_ato2019-2022/2021/lei/L14133.htm" \l "art17"</w:instrText>
      </w:r>
      <w:r>
        <w:rPr>
          <w:rStyle w:val="54"/>
          <w:sz w:val="22"/>
          <w:szCs w:val="22"/>
        </w:rPr>
        <w:fldChar w:fldCharType="separate"/>
      </w:r>
      <w:r>
        <w:rPr>
          <w:rStyle w:val="54"/>
          <w:sz w:val="22"/>
          <w:szCs w:val="22"/>
        </w:rPr>
        <w:t>art. 17, § 2º, da Lei Federal nº 14.133, de 2021</w:t>
      </w:r>
      <w:r>
        <w:rPr>
          <w:rStyle w:val="54"/>
          <w:sz w:val="22"/>
          <w:szCs w:val="22"/>
        </w:rPr>
        <w:fldChar w:fldCharType="end"/>
      </w:r>
      <w:r>
        <w:rPr>
          <w:rStyle w:val="45"/>
          <w:color w:val="000000"/>
          <w:sz w:val="22"/>
          <w:szCs w:val="22"/>
        </w:rPr>
        <w:t>)</w:t>
      </w:r>
      <w:r>
        <w:rPr>
          <w:sz w:val="22"/>
          <w:szCs w:val="22"/>
        </w:rPr>
        <w:t xml:space="preserve">, será realizada em sessão pública, por intermédio da INTERNET (rede mundial de computadores), mediante condições de segurança, criptografia e autenticação em todas as suas fases no Portal Licitanet, disponível no endereço eletrônico: </w:t>
      </w:r>
      <w:r>
        <w:fldChar w:fldCharType="begin"/>
      </w:r>
      <w:r>
        <w:instrText xml:space="preserve"> HYPERLINK "https://www.licitanet.com.br/" \h </w:instrText>
      </w:r>
      <w:r>
        <w:fldChar w:fldCharType="separate"/>
      </w:r>
      <w:r>
        <w:rPr>
          <w:rStyle w:val="54"/>
          <w:sz w:val="22"/>
          <w:szCs w:val="22"/>
        </w:rPr>
        <w:t>https://www.licitanet.com.br/</w:t>
      </w:r>
      <w:r>
        <w:rPr>
          <w:rStyle w:val="54"/>
          <w:sz w:val="22"/>
          <w:szCs w:val="22"/>
        </w:rPr>
        <w:fldChar w:fldCharType="end"/>
      </w:r>
      <w:r>
        <w:rPr>
          <w:sz w:val="22"/>
          <w:szCs w:val="22"/>
        </w:rPr>
        <w:t>.</w:t>
      </w:r>
    </w:p>
    <w:p>
      <w:pPr>
        <w:pStyle w:val="2"/>
        <w:spacing w:before="360" w:after="0"/>
      </w:pPr>
      <w:bookmarkStart w:id="2" w:name="_DATA_E_HORÁRIO"/>
      <w:bookmarkEnd w:id="2"/>
      <w:bookmarkStart w:id="3" w:name="_Toc149517429"/>
      <w:r>
        <w:rPr>
          <w:rStyle w:val="45"/>
          <w:sz w:val="22"/>
          <w:szCs w:val="22"/>
        </w:rPr>
        <w:t>DATA E HORÁRIO</w:t>
      </w:r>
      <w:bookmarkEnd w:id="3"/>
    </w:p>
    <w:p>
      <w:pPr>
        <w:pStyle w:val="3"/>
        <w:numPr>
          <w:ilvl w:val="1"/>
          <w:numId w:val="1"/>
        </w:numPr>
        <w:tabs>
          <w:tab w:val="left" w:pos="1134"/>
        </w:tabs>
        <w:spacing w:before="120" w:beforeAutospacing="0" w:after="0" w:afterAutospacing="0"/>
        <w:ind w:left="0" w:firstLine="567"/>
        <w:jc w:val="both"/>
        <w:textAlignment w:val="baseline"/>
      </w:pPr>
      <w:r>
        <w:rPr>
          <w:sz w:val="22"/>
          <w:szCs w:val="22"/>
        </w:rPr>
        <w:t>A(s) proposta(s) de preços e os documentos de habilitação deverão ser cadastrados no Portal Licitanet (</w:t>
      </w:r>
      <w:r>
        <w:fldChar w:fldCharType="begin"/>
      </w:r>
      <w:r>
        <w:instrText xml:space="preserve"> HYPERLINK "https://www.licitanet.com.br/" \h </w:instrText>
      </w:r>
      <w:r>
        <w:fldChar w:fldCharType="separate"/>
      </w:r>
      <w:r>
        <w:rPr>
          <w:rStyle w:val="54"/>
          <w:sz w:val="22"/>
          <w:szCs w:val="22"/>
        </w:rPr>
        <w:t>https://www.licitanet.com.br/</w:t>
      </w:r>
      <w:r>
        <w:rPr>
          <w:rStyle w:val="54"/>
          <w:sz w:val="22"/>
          <w:szCs w:val="22"/>
        </w:rPr>
        <w:fldChar w:fldCharType="end"/>
      </w:r>
      <w:r>
        <w:rPr>
          <w:sz w:val="22"/>
          <w:szCs w:val="22"/>
        </w:rPr>
        <w:t xml:space="preserve">) até às </w:t>
      </w:r>
      <w:r>
        <w:rPr>
          <w:rFonts w:hint="default"/>
          <w:b/>
          <w:bCs/>
          <w:sz w:val="22"/>
          <w:szCs w:val="22"/>
          <w:highlight w:val="none"/>
          <w:lang w:val="pt-BR"/>
        </w:rPr>
        <w:t>09</w:t>
      </w:r>
      <w:r>
        <w:rPr>
          <w:b/>
          <w:bCs/>
          <w:sz w:val="22"/>
          <w:szCs w:val="22"/>
          <w:highlight w:val="none"/>
        </w:rPr>
        <w:t>h</w:t>
      </w:r>
      <w:r>
        <w:rPr>
          <w:rFonts w:hint="default"/>
          <w:b/>
          <w:bCs/>
          <w:sz w:val="22"/>
          <w:szCs w:val="22"/>
          <w:highlight w:val="none"/>
          <w:lang w:val="pt-BR"/>
        </w:rPr>
        <w:t>00</w:t>
      </w:r>
      <w:r>
        <w:rPr>
          <w:b/>
          <w:bCs/>
          <w:sz w:val="22"/>
          <w:szCs w:val="22"/>
          <w:highlight w:val="none"/>
        </w:rPr>
        <w:t xml:space="preserve"> horas (horário oficial de Brasília/DF) do dia </w:t>
      </w:r>
      <w:r>
        <w:rPr>
          <w:rFonts w:hint="default"/>
          <w:b/>
          <w:bCs/>
          <w:sz w:val="22"/>
          <w:szCs w:val="22"/>
          <w:highlight w:val="none"/>
          <w:lang w:val="pt-BR"/>
        </w:rPr>
        <w:t xml:space="preserve">19 </w:t>
      </w:r>
      <w:r>
        <w:rPr>
          <w:b/>
          <w:bCs/>
          <w:sz w:val="22"/>
          <w:szCs w:val="22"/>
          <w:highlight w:val="none"/>
        </w:rPr>
        <w:t xml:space="preserve">de </w:t>
      </w:r>
      <w:r>
        <w:rPr>
          <w:rFonts w:hint="default"/>
          <w:b/>
          <w:bCs/>
          <w:sz w:val="22"/>
          <w:szCs w:val="22"/>
          <w:highlight w:val="none"/>
          <w:lang w:val="pt-BR"/>
        </w:rPr>
        <w:t xml:space="preserve">abril </w:t>
      </w:r>
      <w:r>
        <w:rPr>
          <w:b/>
          <w:bCs/>
          <w:sz w:val="22"/>
          <w:szCs w:val="22"/>
          <w:highlight w:val="none"/>
        </w:rPr>
        <w:t>de 2024 (</w:t>
      </w:r>
      <w:r>
        <w:rPr>
          <w:rFonts w:hint="default"/>
          <w:b/>
          <w:bCs/>
          <w:sz w:val="22"/>
          <w:szCs w:val="22"/>
          <w:highlight w:val="none"/>
          <w:lang w:val="pt-BR"/>
        </w:rPr>
        <w:t>sexta</w:t>
      </w:r>
      <w:r>
        <w:rPr>
          <w:b/>
          <w:bCs/>
          <w:sz w:val="22"/>
          <w:szCs w:val="22"/>
          <w:highlight w:val="none"/>
        </w:rPr>
        <w:t>-feira)</w:t>
      </w:r>
      <w:r>
        <w:rPr>
          <w:sz w:val="22"/>
          <w:szCs w:val="22"/>
        </w:rPr>
        <w:t>, quando se dará a abertura da sessão pública.</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sz w:val="22"/>
          <w:szCs w:val="22"/>
        </w:rPr>
        <w:t>Não havendo expediente ou ocorrendo qualquer fato superveniente que impeça a realização do certame na data marcada, a sessão será automaticamente transferida para o primeiro dia útil subsequente, no mesmo horário e endereço eletrônico anteriormente estabelecidos, desde que não haja comunicação do Pregoeiro em contrário.</w:t>
      </w:r>
    </w:p>
    <w:p>
      <w:pPr>
        <w:pStyle w:val="3"/>
        <w:numPr>
          <w:ilvl w:val="0"/>
          <w:numId w:val="0"/>
        </w:numPr>
        <w:tabs>
          <w:tab w:val="left" w:pos="1134"/>
        </w:tabs>
        <w:spacing w:before="0" w:beforeAutospacing="0" w:after="0" w:afterAutospacing="0"/>
        <w:ind w:left="0" w:firstLine="0"/>
        <w:jc w:val="both"/>
        <w:textAlignment w:val="baseline"/>
        <w:rPr>
          <w:rFonts w:ascii="Times New Roman" w:hAnsi="Times New Roman"/>
        </w:rPr>
      </w:pPr>
    </w:p>
    <w:p>
      <w:pPr>
        <w:pStyle w:val="2"/>
        <w:spacing w:before="360" w:after="0"/>
      </w:pPr>
      <w:bookmarkStart w:id="4" w:name="_Toc149517430"/>
      <w:r>
        <w:rPr>
          <w:rStyle w:val="45"/>
          <w:sz w:val="22"/>
          <w:szCs w:val="22"/>
        </w:rPr>
        <w:t>AGENTE DE CONTRAÇÃO</w:t>
      </w:r>
      <w:bookmarkEnd w:id="4"/>
    </w:p>
    <w:p>
      <w:pPr>
        <w:pStyle w:val="3"/>
        <w:numPr>
          <w:ilvl w:val="1"/>
          <w:numId w:val="1"/>
        </w:numPr>
        <w:tabs>
          <w:tab w:val="left" w:pos="1134"/>
        </w:tabs>
        <w:spacing w:before="120" w:beforeAutospacing="0" w:after="0" w:afterAutospacing="0"/>
        <w:ind w:left="0" w:firstLine="567"/>
        <w:jc w:val="both"/>
        <w:textAlignment w:val="baseline"/>
      </w:pPr>
      <w:r>
        <w:rPr>
          <w:sz w:val="22"/>
          <w:szCs w:val="22"/>
        </w:rPr>
        <w:t xml:space="preserve">Os trabalhos do certame licitatório serão conduzidos pelo  servidor </w:t>
      </w:r>
      <w:r>
        <w:rPr>
          <w:rStyle w:val="45"/>
          <w:b/>
          <w:bCs/>
          <w:color w:val="000000" w:themeColor="text1"/>
          <w:sz w:val="22"/>
          <w:szCs w:val="22"/>
          <w:shd w:val="clear" w:fill="auto"/>
        </w:rPr>
        <w:t>Wender de Souza Barros</w:t>
      </w:r>
      <w:r>
        <w:rPr>
          <w:b/>
          <w:bCs/>
          <w:sz w:val="22"/>
          <w:szCs w:val="22"/>
          <w:shd w:val="clear" w:fill="auto"/>
        </w:rPr>
        <w:t>,</w:t>
      </w:r>
      <w:r>
        <w:rPr>
          <w:sz w:val="22"/>
          <w:szCs w:val="22"/>
        </w:rPr>
        <w:t xml:space="preserve"> designado Pregoeiro (</w:t>
      </w:r>
      <w:r>
        <w:fldChar w:fldCharType="begin"/>
      </w:r>
      <w:r>
        <w:rPr>
          <w:rStyle w:val="54"/>
          <w:sz w:val="22"/>
          <w:szCs w:val="22"/>
        </w:rPr>
        <w:instrText xml:space="preserve"> HYPERLINK "https://www.planalto.gov.br/ccivil_03/_ato2019-2022/2021/lei/l14133.htm" \l "art8"</w:instrText>
      </w:r>
      <w:r>
        <w:rPr>
          <w:rStyle w:val="54"/>
          <w:sz w:val="22"/>
          <w:szCs w:val="22"/>
        </w:rPr>
        <w:fldChar w:fldCharType="separate"/>
      </w:r>
      <w:r>
        <w:rPr>
          <w:rStyle w:val="54"/>
          <w:sz w:val="22"/>
          <w:szCs w:val="22"/>
        </w:rPr>
        <w:t>art. 8º da Lei Federal nº 14.133, de 2021</w:t>
      </w:r>
      <w:r>
        <w:rPr>
          <w:rStyle w:val="54"/>
          <w:sz w:val="22"/>
          <w:szCs w:val="22"/>
        </w:rPr>
        <w:fldChar w:fldCharType="end"/>
      </w:r>
      <w:r>
        <w:rPr>
          <w:sz w:val="22"/>
          <w:szCs w:val="22"/>
        </w:rPr>
        <w:t>) por intermédio da Portaria nº 077 de 2024, e que nesta licitação será denominado(a) PREGOEIRO (</w:t>
      </w:r>
      <w:r>
        <w:fldChar w:fldCharType="begin"/>
      </w:r>
      <w:r>
        <w:rPr>
          <w:rStyle w:val="54"/>
          <w:sz w:val="22"/>
          <w:szCs w:val="22"/>
        </w:rPr>
        <w:instrText xml:space="preserve"> HYPERLINK "https://www.planalto.gov.br/ccivil_03/_ato2019-2022/2021/lei/l14133.htm" \l "art8"</w:instrText>
      </w:r>
      <w:r>
        <w:rPr>
          <w:rStyle w:val="54"/>
          <w:sz w:val="22"/>
          <w:szCs w:val="22"/>
        </w:rPr>
        <w:fldChar w:fldCharType="separate"/>
      </w:r>
      <w:r>
        <w:rPr>
          <w:rStyle w:val="54"/>
          <w:sz w:val="22"/>
          <w:szCs w:val="22"/>
        </w:rPr>
        <w:t>art. 8º, §5º, da Lei Federal nº 14.133, de 2021</w:t>
      </w:r>
      <w:r>
        <w:rPr>
          <w:rStyle w:val="54"/>
          <w:sz w:val="22"/>
          <w:szCs w:val="22"/>
        </w:rPr>
        <w:fldChar w:fldCharType="end"/>
      </w:r>
      <w:r>
        <w:rPr>
          <w:sz w:val="22"/>
          <w:szCs w:val="22"/>
        </w:rPr>
        <w:t>).</w:t>
      </w:r>
    </w:p>
    <w:p>
      <w:pPr>
        <w:pStyle w:val="3"/>
        <w:numPr>
          <w:ilvl w:val="1"/>
          <w:numId w:val="1"/>
        </w:numPr>
        <w:tabs>
          <w:tab w:val="left" w:pos="1134"/>
        </w:tabs>
        <w:spacing w:before="0" w:beforeAutospacing="0" w:after="0" w:afterAutospacing="0"/>
        <w:ind w:left="0" w:firstLine="567"/>
        <w:jc w:val="both"/>
        <w:textAlignment w:val="baseline"/>
      </w:pPr>
      <w:r>
        <w:rPr>
          <w:sz w:val="22"/>
          <w:szCs w:val="22"/>
        </w:rPr>
        <w:t>O(A) Pregoeiro será auxiliada por equipe de ap</w:t>
      </w:r>
      <w:r>
        <w:rPr>
          <w:sz w:val="22"/>
          <w:szCs w:val="22"/>
          <w:shd w:val="clear" w:fill="auto"/>
        </w:rPr>
        <w:t>oio (</w:t>
      </w:r>
      <w:r>
        <w:fldChar w:fldCharType="begin"/>
      </w:r>
      <w:r>
        <w:rPr>
          <w:rStyle w:val="54"/>
          <w:sz w:val="22"/>
          <w:szCs w:val="22"/>
          <w:shd w:val="clear" w:fill="auto"/>
        </w:rPr>
        <w:instrText xml:space="preserve"> HYPERLINK "https://www.planalto.gov.br/ccivil_03/_ato2019-2022/2021/lei/l14133.htm" \l "art8"</w:instrText>
      </w:r>
      <w:r>
        <w:rPr>
          <w:rStyle w:val="54"/>
          <w:sz w:val="22"/>
          <w:szCs w:val="22"/>
          <w:shd w:val="clear" w:fill="auto"/>
        </w:rPr>
        <w:fldChar w:fldCharType="separate"/>
      </w:r>
      <w:r>
        <w:rPr>
          <w:rStyle w:val="54"/>
          <w:sz w:val="22"/>
          <w:szCs w:val="22"/>
          <w:shd w:val="clear" w:fill="auto"/>
        </w:rPr>
        <w:t>art. 8º, §1º, da Lei Federal nº 14.133, de 2021</w:t>
      </w:r>
      <w:r>
        <w:rPr>
          <w:rStyle w:val="54"/>
          <w:sz w:val="22"/>
          <w:szCs w:val="22"/>
          <w:shd w:val="clear" w:fill="auto"/>
        </w:rPr>
        <w:fldChar w:fldCharType="end"/>
      </w:r>
      <w:r>
        <w:rPr>
          <w:sz w:val="22"/>
          <w:szCs w:val="22"/>
          <w:shd w:val="clear" w:fill="auto"/>
        </w:rPr>
        <w:t xml:space="preserve">) designada pela Portaria nº 077 de 2024, </w:t>
      </w:r>
      <w:r>
        <w:rPr>
          <w:sz w:val="22"/>
          <w:szCs w:val="22"/>
        </w:rPr>
        <w:t>e responderá individualmente pelos atos que praticar.</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sz w:val="22"/>
          <w:szCs w:val="22"/>
        </w:rPr>
        <w:t>Em caso de impedimento na condução do certame licitatório, o Pregoeiro será substituído automaticamente por outro Pregoeiro designado pela Portaria nº 077, de 2024, seguindo a ordem de substituição definida na referida portaria.</w:t>
      </w:r>
    </w:p>
    <w:p>
      <w:pPr>
        <w:pStyle w:val="2"/>
        <w:spacing w:before="360" w:after="0"/>
      </w:pPr>
      <w:bookmarkStart w:id="5" w:name="_Toc149517431"/>
      <w:r>
        <w:rPr>
          <w:rStyle w:val="45"/>
          <w:sz w:val="22"/>
          <w:szCs w:val="22"/>
        </w:rPr>
        <w:t>OBJETO</w:t>
      </w:r>
      <w:bookmarkEnd w:id="5"/>
      <w:r>
        <w:rPr>
          <w:rStyle w:val="45"/>
          <w:sz w:val="22"/>
          <w:szCs w:val="22"/>
        </w:rPr>
        <w:t> </w:t>
      </w:r>
    </w:p>
    <w:p>
      <w:pPr>
        <w:pStyle w:val="3"/>
        <w:numPr>
          <w:ilvl w:val="1"/>
          <w:numId w:val="1"/>
        </w:numPr>
        <w:tabs>
          <w:tab w:val="left" w:pos="1134"/>
        </w:tabs>
        <w:spacing w:before="120" w:beforeAutospacing="0" w:after="0" w:afterAutospacing="0"/>
        <w:ind w:left="0" w:firstLine="567"/>
        <w:jc w:val="both"/>
        <w:textAlignment w:val="baseline"/>
      </w:pPr>
      <w:r>
        <w:rPr>
          <w:rStyle w:val="45"/>
          <w:color w:val="000000"/>
          <w:sz w:val="22"/>
          <w:szCs w:val="22"/>
        </w:rPr>
        <w:t>A presente licitação, por item, tem por objeto</w:t>
      </w:r>
      <w:r>
        <w:rPr>
          <w:rStyle w:val="45"/>
          <w:rFonts w:hint="default"/>
          <w:color w:val="000000"/>
          <w:sz w:val="22"/>
          <w:szCs w:val="22"/>
          <w:lang w:val="pt-BR"/>
        </w:rPr>
        <w:t xml:space="preserve"> o</w:t>
      </w:r>
      <w:r>
        <w:rPr>
          <w:rStyle w:val="45"/>
          <w:color w:val="000000"/>
          <w:sz w:val="22"/>
          <w:szCs w:val="22"/>
        </w:rPr>
        <w:t xml:space="preserve"> </w:t>
      </w:r>
      <w:r>
        <w:rPr>
          <w:rStyle w:val="45"/>
          <w:rFonts w:hint="default"/>
          <w:b/>
          <w:bCs/>
          <w:color w:val="000000" w:themeColor="text1"/>
          <w:kern w:val="0"/>
          <w:sz w:val="22"/>
          <w:szCs w:val="22"/>
          <w:shd w:val="clear" w:color="auto" w:fill="auto"/>
          <w:lang w:val="pt-BR" w:bidi="ar-SA"/>
        </w:rPr>
        <w:t>Registro de Preço para futura e eventual contratação de e</w:t>
      </w:r>
      <w:r>
        <w:rPr>
          <w:rFonts w:ascii="Times New Roman" w:hAnsi="Times New Roman" w:cs="Times New Roman"/>
          <w:b/>
          <w:bCs/>
          <w:color w:val="000000"/>
          <w:kern w:val="0"/>
          <w:sz w:val="22"/>
          <w:szCs w:val="22"/>
          <w:shd w:val="clear" w:color="auto" w:fill="auto"/>
          <w:lang w:val="pt-BR" w:bidi="ar-SA"/>
        </w:rPr>
        <w:t>mpresa especializada em fornecimento de sistema vídeo com instalação a serem disponibilizados na Câmara Municipal de Primavera do Leste-MT.</w:t>
      </w:r>
      <w:r>
        <w:rPr>
          <w:rFonts w:cs="Times New Roman"/>
          <w:b/>
          <w:bCs/>
          <w:color w:val="000000"/>
          <w:kern w:val="0"/>
          <w:sz w:val="22"/>
          <w:szCs w:val="22"/>
          <w:shd w:val="clear" w:fill="auto"/>
          <w:lang w:val="pt-BR" w:bidi="ar-SA"/>
        </w:rPr>
        <w:t xml:space="preserve">, </w:t>
      </w:r>
      <w:r>
        <w:rPr>
          <w:rStyle w:val="45"/>
          <w:color w:val="000000"/>
          <w:sz w:val="22"/>
          <w:szCs w:val="22"/>
        </w:rPr>
        <w:t>conforme especificações, condições, quantidades e prazos constantes do</w:t>
      </w:r>
      <w:r>
        <w:rPr>
          <w:rStyle w:val="45"/>
          <w:b/>
          <w:bCs/>
          <w:color w:val="000000"/>
          <w:sz w:val="22"/>
          <w:szCs w:val="22"/>
        </w:rPr>
        <w:t xml:space="preserve"> </w:t>
      </w:r>
      <w:r>
        <w:fldChar w:fldCharType="begin"/>
      </w:r>
      <w:r>
        <w:instrText xml:space="preserve"> HYPERLINK \l "_ANEXO_I_-_1" \h </w:instrText>
      </w:r>
      <w:r>
        <w:fldChar w:fldCharType="separate"/>
      </w:r>
      <w:r>
        <w:rPr>
          <w:rStyle w:val="54"/>
          <w:b/>
          <w:bCs/>
          <w:sz w:val="22"/>
          <w:szCs w:val="22"/>
        </w:rPr>
        <w:t>Termo de Referência - Anexo I deste Edital</w:t>
      </w:r>
      <w:r>
        <w:rPr>
          <w:rStyle w:val="54"/>
          <w:b/>
          <w:bCs/>
          <w:sz w:val="22"/>
          <w:szCs w:val="22"/>
        </w:rPr>
        <w:fldChar w:fldCharType="end"/>
      </w:r>
      <w:r>
        <w:rPr>
          <w:rStyle w:val="45"/>
          <w:b/>
          <w:bCs/>
          <w:color w:val="000000"/>
          <w:sz w:val="22"/>
          <w:szCs w:val="22"/>
        </w:rPr>
        <w:t>.</w:t>
      </w:r>
    </w:p>
    <w:p>
      <w:pPr>
        <w:pStyle w:val="3"/>
        <w:numPr>
          <w:ilvl w:val="1"/>
          <w:numId w:val="1"/>
        </w:numPr>
        <w:tabs>
          <w:tab w:val="left" w:pos="1134"/>
        </w:tabs>
        <w:spacing w:before="0" w:beforeAutospacing="0" w:after="120" w:afterAutospacing="0"/>
        <w:ind w:left="0" w:firstLine="567"/>
        <w:jc w:val="both"/>
        <w:textAlignment w:val="baseline"/>
      </w:pPr>
      <w:r>
        <w:rPr>
          <w:rStyle w:val="45"/>
          <w:b w:val="0"/>
          <w:bCs w:val="0"/>
          <w:sz w:val="22"/>
          <w:szCs w:val="22"/>
        </w:rPr>
        <w:t xml:space="preserve">Descrição do objeto da contratação: </w:t>
      </w:r>
    </w:p>
    <w:tbl>
      <w:tblPr>
        <w:tblStyle w:val="9"/>
        <w:tblW w:w="8561" w:type="dxa"/>
        <w:tblInd w:w="20" w:type="dxa"/>
        <w:tblLayout w:type="fixed"/>
        <w:tblCellMar>
          <w:top w:w="0" w:type="dxa"/>
          <w:left w:w="7" w:type="dxa"/>
          <w:bottom w:w="0" w:type="dxa"/>
          <w:right w:w="7" w:type="dxa"/>
        </w:tblCellMar>
      </w:tblPr>
      <w:tblGrid>
        <w:gridCol w:w="566"/>
        <w:gridCol w:w="3055"/>
        <w:gridCol w:w="1072"/>
        <w:gridCol w:w="524"/>
        <w:gridCol w:w="827"/>
        <w:gridCol w:w="1209"/>
        <w:gridCol w:w="1307"/>
      </w:tblGrid>
      <w:tr>
        <w:tblPrEx>
          <w:tblCellMar>
            <w:top w:w="0" w:type="dxa"/>
            <w:left w:w="7" w:type="dxa"/>
            <w:bottom w:w="0" w:type="dxa"/>
            <w:right w:w="7" w:type="dxa"/>
          </w:tblCellMar>
        </w:tblPrEx>
        <w:trPr>
          <w:trHeight w:val="450" w:hRule="atLeast"/>
        </w:trPr>
        <w:tc>
          <w:tcPr>
            <w:tcW w:w="8560" w:type="dxa"/>
            <w:gridSpan w:val="7"/>
            <w:tcBorders>
              <w:top w:val="single" w:color="000000" w:sz="4" w:space="0"/>
              <w:left w:val="single" w:color="000000" w:sz="4" w:space="0"/>
              <w:bottom w:val="single" w:color="000000" w:sz="4" w:space="0"/>
              <w:right w:val="single" w:color="000000" w:sz="4" w:space="0"/>
            </w:tcBorders>
            <w:shd w:val="clear" w:color="auto" w:fill="B2B2B2"/>
            <w:vAlign w:val="center"/>
          </w:tcPr>
          <w:p>
            <w:pPr>
              <w:pStyle w:val="173"/>
              <w:spacing w:before="226" w:after="0"/>
              <w:jc w:val="center"/>
              <w:rPr>
                <w:sz w:val="16"/>
                <w:szCs w:val="16"/>
              </w:rPr>
            </w:pPr>
            <w:r>
              <w:rPr>
                <w:rFonts w:ascii="Times New Roman" w:hAnsi="Times New Roman"/>
                <w:b/>
                <w:bCs/>
                <w:sz w:val="16"/>
                <w:szCs w:val="16"/>
              </w:rPr>
              <w:t>LOTE 01</w:t>
            </w:r>
          </w:p>
        </w:tc>
      </w:tr>
      <w:tr>
        <w:tblPrEx>
          <w:tblCellMar>
            <w:top w:w="0" w:type="dxa"/>
            <w:left w:w="7" w:type="dxa"/>
            <w:bottom w:w="0" w:type="dxa"/>
            <w:right w:w="7" w:type="dxa"/>
          </w:tblCellMar>
        </w:tblPrEx>
        <w:trPr>
          <w:trHeight w:val="1030" w:hRule="atLeast"/>
        </w:trPr>
        <w:tc>
          <w:tcPr>
            <w:tcW w:w="566" w:type="dxa"/>
            <w:tcBorders>
              <w:left w:val="single" w:color="000000" w:sz="4" w:space="0"/>
              <w:bottom w:val="single" w:color="000000" w:sz="4" w:space="0"/>
              <w:right w:val="single" w:color="000000" w:sz="4" w:space="0"/>
            </w:tcBorders>
            <w:shd w:val="clear" w:color="auto" w:fill="B2B2B2"/>
            <w:vAlign w:val="center"/>
          </w:tcPr>
          <w:p>
            <w:pPr>
              <w:pStyle w:val="173"/>
              <w:spacing w:before="226" w:after="0"/>
              <w:jc w:val="left"/>
              <w:rPr>
                <w:sz w:val="16"/>
                <w:szCs w:val="16"/>
              </w:rPr>
            </w:pPr>
            <w:r>
              <w:rPr>
                <w:rFonts w:ascii="Times New Roman" w:hAnsi="Times New Roman"/>
                <w:b/>
                <w:spacing w:val="-5"/>
                <w:kern w:val="0"/>
                <w:sz w:val="16"/>
                <w:szCs w:val="16"/>
                <w:lang w:val="pt-BR" w:eastAsia="en-US" w:bidi="ar-SA"/>
              </w:rPr>
              <w:t>ITEM</w:t>
            </w:r>
          </w:p>
        </w:tc>
        <w:tc>
          <w:tcPr>
            <w:tcW w:w="3055" w:type="dxa"/>
            <w:tcBorders>
              <w:left w:val="single" w:color="000000" w:sz="4" w:space="0"/>
              <w:bottom w:val="single" w:color="000000" w:sz="4" w:space="0"/>
              <w:right w:val="single" w:color="000000" w:sz="4" w:space="0"/>
            </w:tcBorders>
            <w:shd w:val="clear" w:color="auto" w:fill="B2B2B2"/>
            <w:vAlign w:val="center"/>
          </w:tcPr>
          <w:p>
            <w:pPr>
              <w:pStyle w:val="173"/>
              <w:spacing w:before="0" w:after="0"/>
              <w:jc w:val="left"/>
              <w:rPr>
                <w:rFonts w:ascii="Times New Roman" w:hAnsi="Times New Roman"/>
                <w:kern w:val="0"/>
                <w:sz w:val="16"/>
                <w:szCs w:val="16"/>
                <w:lang w:val="pt-BR" w:eastAsia="en-US" w:bidi="ar-SA"/>
              </w:rPr>
            </w:pPr>
          </w:p>
          <w:p>
            <w:pPr>
              <w:pStyle w:val="173"/>
              <w:spacing w:before="113" w:after="0"/>
              <w:jc w:val="left"/>
              <w:rPr>
                <w:sz w:val="16"/>
                <w:szCs w:val="16"/>
              </w:rPr>
            </w:pPr>
            <w:r>
              <w:rPr>
                <w:rFonts w:ascii="Times New Roman" w:hAnsi="Times New Roman"/>
                <w:b/>
                <w:spacing w:val="-5"/>
                <w:kern w:val="0"/>
                <w:sz w:val="16"/>
                <w:szCs w:val="16"/>
                <w:lang w:val="pt-BR" w:eastAsia="en-US" w:bidi="ar-SA"/>
              </w:rPr>
              <w:t>DESCRIÇÃO DO BEM</w:t>
            </w:r>
          </w:p>
        </w:tc>
        <w:tc>
          <w:tcPr>
            <w:tcW w:w="1072" w:type="dxa"/>
            <w:tcBorders>
              <w:left w:val="single" w:color="000000" w:sz="4" w:space="0"/>
              <w:bottom w:val="single" w:color="000000" w:sz="4" w:space="0"/>
              <w:right w:val="single" w:color="000000" w:sz="4" w:space="0"/>
            </w:tcBorders>
            <w:shd w:val="clear" w:color="auto" w:fill="B2B2B2"/>
            <w:vAlign w:val="center"/>
          </w:tcPr>
          <w:p>
            <w:pPr>
              <w:pStyle w:val="173"/>
              <w:spacing w:before="226" w:after="0" w:line="264" w:lineRule="auto"/>
              <w:jc w:val="center"/>
              <w:rPr>
                <w:sz w:val="16"/>
                <w:szCs w:val="16"/>
              </w:rPr>
            </w:pPr>
            <w:r>
              <w:rPr>
                <w:rFonts w:ascii="Times New Roman" w:hAnsi="Times New Roman"/>
                <w:b/>
                <w:spacing w:val="-2"/>
                <w:kern w:val="0"/>
                <w:sz w:val="16"/>
                <w:szCs w:val="16"/>
                <w:lang w:val="pt-BR" w:eastAsia="en-US" w:bidi="ar-SA"/>
              </w:rPr>
              <w:t>CÓD/CATMAT</w:t>
            </w:r>
          </w:p>
        </w:tc>
        <w:tc>
          <w:tcPr>
            <w:tcW w:w="524" w:type="dxa"/>
            <w:tcBorders>
              <w:left w:val="single" w:color="000000" w:sz="4" w:space="0"/>
              <w:bottom w:val="single" w:color="000000" w:sz="4" w:space="0"/>
              <w:right w:val="single" w:color="000000" w:sz="4" w:space="0"/>
            </w:tcBorders>
            <w:shd w:val="clear" w:color="auto" w:fill="B2B2B2"/>
            <w:vAlign w:val="center"/>
          </w:tcPr>
          <w:p>
            <w:pPr>
              <w:pStyle w:val="173"/>
              <w:spacing w:before="0" w:after="0"/>
              <w:jc w:val="left"/>
              <w:rPr>
                <w:sz w:val="16"/>
                <w:szCs w:val="16"/>
              </w:rPr>
            </w:pPr>
            <w:r>
              <w:rPr>
                <w:rFonts w:ascii="Times New Roman" w:hAnsi="Times New Roman"/>
                <w:b/>
                <w:spacing w:val="-4"/>
                <w:kern w:val="0"/>
                <w:sz w:val="16"/>
                <w:szCs w:val="16"/>
                <w:lang w:val="pt-BR" w:eastAsia="en-US" w:bidi="ar-SA"/>
              </w:rPr>
              <w:t>QNTD</w:t>
            </w:r>
          </w:p>
        </w:tc>
        <w:tc>
          <w:tcPr>
            <w:tcW w:w="827" w:type="dxa"/>
            <w:tcBorders>
              <w:left w:val="single" w:color="000000" w:sz="4" w:space="0"/>
              <w:bottom w:val="single" w:color="000000" w:sz="4" w:space="0"/>
            </w:tcBorders>
            <w:shd w:val="clear" w:color="auto" w:fill="B2B2B2"/>
            <w:vAlign w:val="center"/>
          </w:tcPr>
          <w:p>
            <w:pPr>
              <w:pStyle w:val="173"/>
              <w:spacing w:before="0" w:after="0" w:line="264" w:lineRule="auto"/>
              <w:jc w:val="center"/>
              <w:rPr>
                <w:sz w:val="16"/>
                <w:szCs w:val="16"/>
              </w:rPr>
            </w:pPr>
            <w:r>
              <w:rPr>
                <w:rFonts w:ascii="Times New Roman" w:hAnsi="Times New Roman"/>
                <w:b/>
                <w:spacing w:val="-2"/>
                <w:kern w:val="0"/>
                <w:sz w:val="16"/>
                <w:szCs w:val="16"/>
                <w:lang w:val="pt-BR" w:eastAsia="en-US" w:bidi="ar-SA"/>
              </w:rPr>
              <w:t>MÉTRICA OU UNIDADE</w:t>
            </w:r>
          </w:p>
        </w:tc>
        <w:tc>
          <w:tcPr>
            <w:tcW w:w="1209" w:type="dxa"/>
            <w:tcBorders>
              <w:left w:val="single" w:color="000000" w:sz="4" w:space="0"/>
              <w:bottom w:val="single" w:color="000000" w:sz="4" w:space="0"/>
            </w:tcBorders>
            <w:shd w:val="clear" w:color="auto" w:fill="B2B2B2"/>
            <w:vAlign w:val="center"/>
          </w:tcPr>
          <w:p>
            <w:pPr>
              <w:pStyle w:val="173"/>
              <w:spacing w:before="0" w:after="0" w:line="264" w:lineRule="auto"/>
              <w:jc w:val="center"/>
              <w:rPr>
                <w:sz w:val="16"/>
                <w:szCs w:val="16"/>
              </w:rPr>
            </w:pPr>
            <w:r>
              <w:rPr>
                <w:rFonts w:ascii="Times New Roman" w:hAnsi="Times New Roman"/>
                <w:b/>
                <w:bCs/>
                <w:sz w:val="16"/>
                <w:szCs w:val="16"/>
              </w:rPr>
              <w:t>VALOR UNITÁRIO</w:t>
            </w:r>
          </w:p>
        </w:tc>
        <w:tc>
          <w:tcPr>
            <w:tcW w:w="1307" w:type="dxa"/>
            <w:tcBorders>
              <w:left w:val="single" w:color="000000" w:sz="4" w:space="0"/>
              <w:bottom w:val="single" w:color="000000" w:sz="4" w:space="0"/>
              <w:right w:val="single" w:color="000000" w:sz="4" w:space="0"/>
            </w:tcBorders>
            <w:shd w:val="clear" w:color="auto" w:fill="B2B2B2"/>
            <w:vAlign w:val="center"/>
          </w:tcPr>
          <w:p>
            <w:pPr>
              <w:pStyle w:val="173"/>
              <w:spacing w:before="0" w:after="0" w:line="264" w:lineRule="auto"/>
              <w:jc w:val="center"/>
              <w:rPr>
                <w:sz w:val="16"/>
                <w:szCs w:val="16"/>
              </w:rPr>
            </w:pPr>
            <w:r>
              <w:rPr>
                <w:rFonts w:ascii="Times New Roman" w:hAnsi="Times New Roman"/>
                <w:b/>
                <w:bCs/>
                <w:sz w:val="16"/>
                <w:szCs w:val="16"/>
              </w:rPr>
              <w:t>VALOR TOTAL</w:t>
            </w:r>
          </w:p>
        </w:tc>
      </w:tr>
      <w:tr>
        <w:tblPrEx>
          <w:tblCellMar>
            <w:top w:w="0" w:type="dxa"/>
            <w:left w:w="7" w:type="dxa"/>
            <w:bottom w:w="0" w:type="dxa"/>
            <w:right w:w="7" w:type="dxa"/>
          </w:tblCellMar>
        </w:tblPrEx>
        <w:trPr>
          <w:trHeight w:val="3364"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226" w:after="0"/>
              <w:jc w:val="both"/>
              <w:rPr>
                <w:rFonts w:ascii="Times New Roman" w:hAnsi="Times New Roman"/>
                <w:b/>
                <w:spacing w:val="-5"/>
                <w:kern w:val="0"/>
                <w:lang w:val="pt-BR" w:eastAsia="en-US" w:bidi="ar-SA"/>
              </w:rPr>
            </w:pPr>
          </w:p>
          <w:p>
            <w:pPr>
              <w:pStyle w:val="173"/>
              <w:spacing w:before="226" w:after="0"/>
              <w:jc w:val="both"/>
              <w:rPr>
                <w:sz w:val="16"/>
                <w:szCs w:val="16"/>
              </w:rPr>
            </w:pPr>
            <w:r>
              <w:rPr>
                <w:rFonts w:ascii="Times New Roman" w:hAnsi="Times New Roman"/>
                <w:b/>
                <w:spacing w:val="-5"/>
                <w:kern w:val="0"/>
                <w:sz w:val="16"/>
                <w:szCs w:val="16"/>
                <w:lang w:val="pt-BR" w:eastAsia="en-US" w:bidi="ar-SA"/>
              </w:rPr>
              <w:t>1</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0" w:after="0"/>
              <w:jc w:val="both"/>
              <w:rPr>
                <w:sz w:val="16"/>
                <w:szCs w:val="16"/>
              </w:rPr>
            </w:pPr>
            <w:r>
              <w:rPr>
                <w:rFonts w:ascii="Times New Roman" w:hAnsi="Times New Roman"/>
                <w:b/>
                <w:kern w:val="0"/>
                <w:sz w:val="16"/>
                <w:szCs w:val="16"/>
                <w:u w:val="single"/>
                <w:lang w:val="pt-BR" w:eastAsia="en-US" w:bidi="ar-SA"/>
              </w:rPr>
              <w:t xml:space="preserve">KIT CENTRAL DE ALARME </w:t>
            </w:r>
            <w:r>
              <w:rPr>
                <w:rFonts w:ascii="Times New Roman" w:hAnsi="Times New Roman"/>
                <w:b/>
                <w:spacing w:val="-2"/>
                <w:kern w:val="0"/>
                <w:sz w:val="16"/>
                <w:szCs w:val="16"/>
                <w:u w:val="single"/>
                <w:lang w:val="pt-BR" w:eastAsia="en-US" w:bidi="ar-SA"/>
              </w:rPr>
              <w:t>MONITORADA, CONTENDO:</w:t>
            </w:r>
          </w:p>
          <w:p>
            <w:pPr>
              <w:pStyle w:val="173"/>
              <w:spacing w:before="0" w:after="0"/>
              <w:jc w:val="both"/>
              <w:rPr>
                <w:rFonts w:ascii="Times New Roman" w:hAnsi="Times New Roman"/>
                <w:b/>
                <w:spacing w:val="-2"/>
                <w:kern w:val="0"/>
                <w:sz w:val="16"/>
                <w:szCs w:val="16"/>
                <w:u w:val="single"/>
                <w:lang w:val="pt-BR" w:eastAsia="en-US" w:bidi="ar-SA"/>
              </w:rPr>
            </w:pPr>
          </w:p>
          <w:p>
            <w:pPr>
              <w:pStyle w:val="173"/>
              <w:spacing w:before="29" w:after="0" w:line="264" w:lineRule="auto"/>
              <w:jc w:val="both"/>
              <w:rPr>
                <w:sz w:val="16"/>
                <w:szCs w:val="16"/>
              </w:rPr>
            </w:pPr>
            <w:r>
              <w:rPr>
                <w:rFonts w:ascii="Times New Roman" w:hAnsi="Times New Roman"/>
                <w:b/>
                <w:bCs/>
                <w:kern w:val="0"/>
                <w:sz w:val="16"/>
                <w:szCs w:val="16"/>
                <w:u w:val="single"/>
                <w:lang w:eastAsia="en-US" w:bidi="ar-SA"/>
              </w:rPr>
              <w:t>CENTRAL DE ALARME MONITORADA</w:t>
            </w:r>
            <w:r>
              <w:rPr>
                <w:rFonts w:ascii="Times New Roman" w:hAnsi="Times New Roman"/>
                <w:kern w:val="0"/>
                <w:sz w:val="16"/>
                <w:szCs w:val="16"/>
                <w:lang w:eastAsia="en-US" w:bidi="ar-SA"/>
              </w:rPr>
              <w:t xml:space="preserve">, </w:t>
            </w:r>
            <w:r>
              <w:rPr>
                <w:rFonts w:ascii="Times New Roman" w:hAnsi="Times New Roman"/>
                <w:kern w:val="0"/>
                <w:sz w:val="16"/>
                <w:szCs w:val="16"/>
                <w:lang w:val="pt-BR" w:eastAsia="en-US" w:bidi="ar-SA"/>
              </w:rPr>
              <w:t xml:space="preserve">com mínimo de 16 zonas, com proteção de transmissão. A central deverá ser conectada via nuvem através de conexões Ethernet, Wi-Fi. Deve possuir receptor/transmissor de sinal sem fio integrado, deverá reportar eventos por conexão Ethernet/Wi-fi. A central de alarme deverá ter acesso remoto. </w:t>
            </w:r>
            <w:r>
              <w:rPr>
                <w:rFonts w:ascii="Times New Roman" w:hAnsi="Times New Roman"/>
                <w:b/>
                <w:kern w:val="0"/>
                <w:sz w:val="16"/>
                <w:szCs w:val="16"/>
                <w:u w:val="single"/>
                <w:lang w:val="pt-BR" w:eastAsia="en-US" w:bidi="ar-SA"/>
              </w:rPr>
              <w:t>O kit central de</w:t>
            </w:r>
            <w:r>
              <w:rPr>
                <w:rFonts w:ascii="Times New Roman" w:hAnsi="Times New Roman"/>
                <w:b/>
                <w:kern w:val="0"/>
                <w:sz w:val="16"/>
                <w:szCs w:val="16"/>
                <w:lang w:val="pt-BR" w:eastAsia="en-US" w:bidi="ar-SA"/>
              </w:rPr>
              <w:t xml:space="preserve"> </w:t>
            </w:r>
            <w:r>
              <w:rPr>
                <w:rFonts w:ascii="Times New Roman" w:hAnsi="Times New Roman"/>
                <w:b/>
                <w:kern w:val="0"/>
                <w:sz w:val="16"/>
                <w:szCs w:val="16"/>
                <w:u w:val="single"/>
                <w:lang w:val="pt-BR" w:eastAsia="en-US" w:bidi="ar-SA"/>
              </w:rPr>
              <w:t>alarme deverá conter</w:t>
            </w:r>
            <w:r>
              <w:rPr>
                <w:rFonts w:ascii="Times New Roman" w:hAnsi="Times New Roman"/>
                <w:kern w:val="0"/>
                <w:sz w:val="16"/>
                <w:szCs w:val="16"/>
                <w:lang w:val="pt-BR" w:eastAsia="en-US" w:bidi="ar-SA"/>
              </w:rPr>
              <w:t>:</w:t>
            </w:r>
          </w:p>
          <w:p>
            <w:pPr>
              <w:pStyle w:val="173"/>
              <w:spacing w:before="29" w:after="0" w:line="264" w:lineRule="auto"/>
              <w:jc w:val="both"/>
              <w:rPr>
                <w:rFonts w:ascii="Times New Roman" w:hAnsi="Times New Roman"/>
                <w:kern w:val="0"/>
                <w:sz w:val="16"/>
                <w:szCs w:val="16"/>
                <w:lang w:val="pt-BR" w:eastAsia="en-US" w:bidi="ar-SA"/>
              </w:rPr>
            </w:pPr>
          </w:p>
          <w:p>
            <w:pPr>
              <w:pStyle w:val="173"/>
              <w:spacing w:before="29" w:after="0" w:line="264" w:lineRule="auto"/>
              <w:jc w:val="both"/>
              <w:rPr>
                <w:sz w:val="16"/>
                <w:szCs w:val="16"/>
              </w:rPr>
            </w:pPr>
            <w:r>
              <w:rPr>
                <w:rFonts w:ascii="Times New Roman" w:hAnsi="Times New Roman"/>
                <w:kern w:val="0"/>
                <w:sz w:val="16"/>
                <w:szCs w:val="16"/>
                <w:lang w:val="pt-BR" w:eastAsia="en-US" w:bidi="ar-SA"/>
              </w:rPr>
              <w:t>Teclado, 03 unidades;</w:t>
            </w:r>
          </w:p>
          <w:p>
            <w:pPr>
              <w:pStyle w:val="173"/>
              <w:spacing w:before="29" w:after="0" w:line="264" w:lineRule="auto"/>
              <w:jc w:val="both"/>
              <w:rPr>
                <w:sz w:val="16"/>
                <w:szCs w:val="16"/>
              </w:rPr>
            </w:pPr>
            <w:r>
              <w:rPr>
                <w:rFonts w:ascii="Times New Roman" w:hAnsi="Times New Roman"/>
                <w:kern w:val="0"/>
                <w:sz w:val="16"/>
                <w:szCs w:val="16"/>
                <w:lang w:val="pt-BR" w:eastAsia="en-US" w:bidi="ar-SA"/>
              </w:rPr>
              <w:t>Modulo expansor de zona, 4 unidades;</w:t>
            </w:r>
          </w:p>
          <w:p>
            <w:pPr>
              <w:pStyle w:val="173"/>
              <w:spacing w:before="29" w:after="0" w:line="264" w:lineRule="auto"/>
              <w:jc w:val="both"/>
              <w:rPr>
                <w:sz w:val="16"/>
                <w:szCs w:val="16"/>
              </w:rPr>
            </w:pPr>
            <w:r>
              <w:rPr>
                <w:rFonts w:ascii="Times New Roman" w:hAnsi="Times New Roman"/>
                <w:kern w:val="0"/>
                <w:sz w:val="16"/>
                <w:szCs w:val="16"/>
                <w:lang w:val="pt-BR" w:eastAsia="en-US" w:bidi="ar-SA"/>
              </w:rPr>
              <w:t>Bateria 12v 7ah, de longa duração, 5 unidades;</w:t>
            </w:r>
          </w:p>
          <w:p>
            <w:pPr>
              <w:pStyle w:val="173"/>
              <w:spacing w:before="29" w:after="0" w:line="264" w:lineRule="auto"/>
              <w:jc w:val="both"/>
              <w:rPr>
                <w:sz w:val="16"/>
                <w:szCs w:val="16"/>
              </w:rPr>
            </w:pPr>
            <w:r>
              <w:rPr>
                <w:rFonts w:ascii="Times New Roman" w:hAnsi="Times New Roman"/>
                <w:kern w:val="0"/>
                <w:sz w:val="16"/>
                <w:szCs w:val="16"/>
                <w:lang w:val="pt-BR" w:eastAsia="en-US" w:bidi="ar-SA"/>
              </w:rPr>
              <w:t>Sirene eletrônica com iluminação 110db 200ma, 6 unidades;</w:t>
            </w:r>
          </w:p>
          <w:p>
            <w:pPr>
              <w:pStyle w:val="173"/>
              <w:spacing w:before="29" w:after="0" w:line="264" w:lineRule="auto"/>
              <w:jc w:val="both"/>
              <w:rPr>
                <w:sz w:val="16"/>
                <w:szCs w:val="16"/>
              </w:rPr>
            </w:pPr>
            <w:r>
              <w:rPr>
                <w:rFonts w:ascii="Times New Roman" w:hAnsi="Times New Roman"/>
                <w:kern w:val="0"/>
                <w:sz w:val="16"/>
                <w:szCs w:val="16"/>
                <w:lang w:val="pt-BR" w:eastAsia="en-US" w:bidi="ar-SA"/>
              </w:rPr>
              <w:t>Sensor de teto interno, 15 unidades;</w:t>
            </w:r>
          </w:p>
          <w:p>
            <w:pPr>
              <w:pStyle w:val="173"/>
              <w:spacing w:before="29" w:after="0" w:line="264" w:lineRule="auto"/>
              <w:jc w:val="both"/>
              <w:rPr>
                <w:sz w:val="16"/>
                <w:szCs w:val="16"/>
              </w:rPr>
            </w:pPr>
            <w:r>
              <w:rPr>
                <w:rFonts w:ascii="Times New Roman" w:hAnsi="Times New Roman"/>
                <w:kern w:val="0"/>
                <w:sz w:val="16"/>
                <w:szCs w:val="16"/>
                <w:lang w:val="pt-BR" w:eastAsia="en-US" w:bidi="ar-SA"/>
              </w:rPr>
              <w:t>Sensor interno com fio, 53 unidades;</w:t>
            </w:r>
          </w:p>
          <w:p>
            <w:pPr>
              <w:pStyle w:val="173"/>
              <w:spacing w:before="29" w:after="0" w:line="264" w:lineRule="auto"/>
              <w:jc w:val="both"/>
              <w:rPr>
                <w:sz w:val="16"/>
                <w:szCs w:val="16"/>
              </w:rPr>
            </w:pPr>
            <w:r>
              <w:rPr>
                <w:rFonts w:ascii="Times New Roman" w:hAnsi="Times New Roman"/>
                <w:kern w:val="0"/>
                <w:sz w:val="16"/>
                <w:szCs w:val="16"/>
                <w:lang w:val="pt-BR" w:eastAsia="en-US" w:bidi="ar-SA"/>
              </w:rPr>
              <w:t>Sensor magnético com fio, 3 unidades;</w:t>
            </w:r>
          </w:p>
          <w:p>
            <w:pPr>
              <w:pStyle w:val="173"/>
              <w:spacing w:before="29" w:after="0" w:line="264" w:lineRule="auto"/>
              <w:jc w:val="both"/>
              <w:rPr>
                <w:sz w:val="16"/>
                <w:szCs w:val="16"/>
              </w:rPr>
            </w:pPr>
            <w:r>
              <w:rPr>
                <w:rFonts w:ascii="Times New Roman" w:hAnsi="Times New Roman"/>
                <w:kern w:val="0"/>
                <w:sz w:val="16"/>
                <w:szCs w:val="16"/>
                <w:lang w:val="pt-BR" w:eastAsia="en-US" w:bidi="ar-SA"/>
              </w:rPr>
              <w:t>Caixa telefone 60x60 sobrepor branca, 4 unidades;</w:t>
            </w:r>
          </w:p>
          <w:p>
            <w:pPr>
              <w:pStyle w:val="173"/>
              <w:spacing w:before="29" w:after="0" w:line="264" w:lineRule="auto"/>
              <w:jc w:val="both"/>
              <w:rPr>
                <w:sz w:val="16"/>
                <w:szCs w:val="16"/>
              </w:rPr>
            </w:pPr>
            <w:r>
              <w:rPr>
                <w:rFonts w:ascii="Times New Roman" w:hAnsi="Times New Roman"/>
                <w:kern w:val="0"/>
                <w:sz w:val="16"/>
                <w:szCs w:val="16"/>
                <w:lang w:val="pt-BR" w:eastAsia="en-US" w:bidi="ar-SA"/>
              </w:rPr>
              <w:t>Régua 3 tomadas 2P+T 10A 250V – para montagem de extensão, 4 unidades;</w:t>
            </w:r>
          </w:p>
          <w:p>
            <w:pPr>
              <w:pStyle w:val="173"/>
              <w:spacing w:before="29" w:after="0" w:line="264" w:lineRule="auto"/>
              <w:jc w:val="both"/>
              <w:rPr>
                <w:sz w:val="16"/>
                <w:szCs w:val="16"/>
              </w:rPr>
            </w:pPr>
            <w:r>
              <w:rPr>
                <w:rFonts w:ascii="Times New Roman" w:hAnsi="Times New Roman"/>
                <w:kern w:val="0"/>
                <w:sz w:val="16"/>
                <w:szCs w:val="16"/>
                <w:lang w:val="pt-BR" w:eastAsia="en-US" w:bidi="ar-SA"/>
              </w:rPr>
              <w:t>Canaleta 50x50 branca semiaberta, 6 unidades;</w:t>
            </w:r>
          </w:p>
          <w:p>
            <w:pPr>
              <w:pStyle w:val="173"/>
              <w:spacing w:before="29" w:after="0" w:line="264" w:lineRule="auto"/>
              <w:jc w:val="both"/>
              <w:rPr>
                <w:sz w:val="16"/>
                <w:szCs w:val="16"/>
              </w:rPr>
            </w:pPr>
            <w:r>
              <w:rPr>
                <w:rFonts w:ascii="Times New Roman" w:hAnsi="Times New Roman"/>
                <w:bCs/>
                <w:kern w:val="0"/>
                <w:sz w:val="16"/>
                <w:szCs w:val="16"/>
                <w:lang w:val="pt-BR" w:eastAsia="en-US" w:bidi="ar-SA"/>
              </w:rPr>
              <w:t>Cabo PP 2x2.5mm, 50 metros;</w:t>
            </w:r>
          </w:p>
          <w:p>
            <w:pPr>
              <w:pStyle w:val="173"/>
              <w:spacing w:before="29" w:after="0" w:line="264" w:lineRule="auto"/>
              <w:jc w:val="both"/>
              <w:rPr>
                <w:sz w:val="16"/>
                <w:szCs w:val="16"/>
              </w:rPr>
            </w:pPr>
            <w:r>
              <w:rPr>
                <w:rFonts w:ascii="Times New Roman" w:hAnsi="Times New Roman"/>
                <w:bCs/>
                <w:kern w:val="0"/>
                <w:sz w:val="16"/>
                <w:szCs w:val="16"/>
                <w:lang w:val="pt-BR" w:eastAsia="en-US" w:bidi="ar-SA"/>
              </w:rPr>
              <w:t>Rádio para alarme 460MHZ, 1 unidade;</w:t>
            </w:r>
          </w:p>
          <w:p>
            <w:pPr>
              <w:pStyle w:val="173"/>
              <w:spacing w:before="29" w:after="0" w:line="264" w:lineRule="auto"/>
              <w:jc w:val="both"/>
              <w:rPr>
                <w:sz w:val="16"/>
                <w:szCs w:val="16"/>
              </w:rPr>
            </w:pPr>
            <w:r>
              <w:rPr>
                <w:rFonts w:ascii="Times New Roman" w:hAnsi="Times New Roman"/>
                <w:bCs/>
                <w:kern w:val="0"/>
                <w:sz w:val="16"/>
                <w:szCs w:val="16"/>
                <w:lang w:val="pt-BR" w:eastAsia="en-US" w:bidi="ar-SA"/>
              </w:rPr>
              <w:t>Chicote para o rádio, 1 unidade;</w:t>
            </w:r>
          </w:p>
          <w:p>
            <w:pPr>
              <w:pStyle w:val="173"/>
              <w:spacing w:before="29" w:after="0" w:line="264" w:lineRule="auto"/>
              <w:jc w:val="both"/>
              <w:rPr>
                <w:sz w:val="16"/>
                <w:szCs w:val="16"/>
              </w:rPr>
            </w:pPr>
            <w:r>
              <w:rPr>
                <w:rFonts w:ascii="Times New Roman" w:hAnsi="Times New Roman"/>
                <w:bCs/>
                <w:kern w:val="0"/>
                <w:sz w:val="16"/>
                <w:szCs w:val="16"/>
                <w:lang w:val="pt-BR" w:eastAsia="en-US" w:bidi="ar-SA"/>
              </w:rPr>
              <w:t>Mão de Obra para instalação do sistema de Alarme;</w:t>
            </w:r>
          </w:p>
          <w:p>
            <w:pPr>
              <w:pStyle w:val="173"/>
              <w:spacing w:before="29" w:after="0" w:line="264" w:lineRule="auto"/>
              <w:jc w:val="both"/>
              <w:rPr>
                <w:rFonts w:ascii="Times New Roman" w:hAnsi="Times New Roman"/>
                <w:bCs/>
                <w:kern w:val="0"/>
                <w:sz w:val="16"/>
                <w:szCs w:val="16"/>
                <w:lang w:val="pt-BR" w:eastAsia="en-US" w:bidi="ar-SA"/>
              </w:rPr>
            </w:pPr>
          </w:p>
          <w:p>
            <w:pPr>
              <w:pStyle w:val="173"/>
              <w:spacing w:before="29" w:after="0" w:line="264" w:lineRule="auto"/>
              <w:jc w:val="both"/>
              <w:rPr>
                <w:sz w:val="16"/>
                <w:szCs w:val="16"/>
              </w:rPr>
            </w:pPr>
            <w:r>
              <w:rPr>
                <w:rFonts w:ascii="Times New Roman" w:hAnsi="Times New Roman"/>
                <w:bCs/>
                <w:kern w:val="0"/>
                <w:sz w:val="16"/>
                <w:szCs w:val="16"/>
                <w:lang w:val="pt-BR" w:eastAsia="en-US" w:bidi="ar-SA"/>
              </w:rPr>
              <w:t>Referência:</w:t>
            </w:r>
          </w:p>
          <w:p>
            <w:pPr>
              <w:pStyle w:val="173"/>
              <w:spacing w:before="29" w:after="0" w:line="264" w:lineRule="auto"/>
              <w:jc w:val="both"/>
              <w:rPr>
                <w:sz w:val="16"/>
                <w:szCs w:val="16"/>
              </w:rPr>
            </w:pPr>
            <w:r>
              <w:rPr>
                <w:rFonts w:ascii="Times New Roman" w:hAnsi="Times New Roman"/>
                <w:b/>
                <w:spacing w:val="-2"/>
                <w:kern w:val="0"/>
                <w:sz w:val="16"/>
                <w:szCs w:val="16"/>
                <w:u w:val="single"/>
                <w:lang w:val="pt-BR" w:eastAsia="en-US" w:bidi="ar-SA"/>
              </w:rPr>
              <w:t xml:space="preserve">Central de alarme </w:t>
            </w:r>
            <w:r>
              <w:rPr>
                <w:rFonts w:ascii="Times New Roman" w:hAnsi="Times New Roman"/>
                <w:bCs/>
                <w:kern w:val="0"/>
                <w:sz w:val="16"/>
                <w:szCs w:val="16"/>
                <w:lang w:val="pt-BR" w:eastAsia="en-US" w:bidi="ar-SA"/>
              </w:rPr>
              <w:t>- igual ou similar a Central de Alarme ViaWeb 16 zonas IP</w:t>
            </w:r>
          </w:p>
          <w:p>
            <w:pPr>
              <w:pStyle w:val="173"/>
              <w:spacing w:before="29" w:after="0" w:line="264" w:lineRule="auto"/>
              <w:jc w:val="both"/>
              <w:rPr>
                <w:rFonts w:ascii="Times New Roman" w:hAnsi="Times New Roman"/>
                <w:bCs/>
                <w:kern w:val="0"/>
                <w:sz w:val="16"/>
                <w:szCs w:val="16"/>
                <w:lang w:val="pt-BR" w:eastAsia="en-US" w:bidi="ar-SA"/>
              </w:rPr>
            </w:pPr>
          </w:p>
          <w:p>
            <w:pPr>
              <w:pStyle w:val="173"/>
              <w:spacing w:before="29" w:after="0" w:line="264" w:lineRule="auto"/>
              <w:jc w:val="both"/>
              <w:rPr>
                <w:sz w:val="16"/>
                <w:szCs w:val="16"/>
              </w:rPr>
            </w:pPr>
            <w:r>
              <w:rPr>
                <w:rFonts w:ascii="Times New Roman" w:hAnsi="Times New Roman"/>
                <w:b/>
                <w:spacing w:val="-2"/>
                <w:kern w:val="0"/>
                <w:sz w:val="16"/>
                <w:szCs w:val="16"/>
                <w:u w:val="single"/>
                <w:lang w:val="pt-BR" w:eastAsia="en-US" w:bidi="ar-SA"/>
              </w:rPr>
              <w:t xml:space="preserve">Teclado </w:t>
            </w:r>
            <w:r>
              <w:rPr>
                <w:rFonts w:ascii="Times New Roman" w:hAnsi="Times New Roman"/>
                <w:bCs/>
                <w:kern w:val="0"/>
                <w:sz w:val="16"/>
                <w:szCs w:val="16"/>
                <w:lang w:val="pt-BR" w:eastAsia="en-US" w:bidi="ar-SA"/>
              </w:rPr>
              <w:t>– Teclado ViaWeb 16 Plus</w:t>
            </w:r>
          </w:p>
          <w:p>
            <w:pPr>
              <w:pStyle w:val="173"/>
              <w:spacing w:before="29" w:after="0" w:line="264" w:lineRule="auto"/>
              <w:jc w:val="both"/>
              <w:rPr>
                <w:rFonts w:ascii="Times New Roman" w:hAnsi="Times New Roman"/>
                <w:bCs/>
                <w:kern w:val="0"/>
                <w:sz w:val="16"/>
                <w:szCs w:val="16"/>
                <w:lang w:val="pt-BR" w:eastAsia="en-US" w:bidi="ar-SA"/>
              </w:rPr>
            </w:pPr>
          </w:p>
          <w:p>
            <w:pPr>
              <w:pStyle w:val="173"/>
              <w:tabs>
                <w:tab w:val="left" w:pos="1274"/>
                <w:tab w:val="left" w:pos="1849"/>
                <w:tab w:val="left" w:pos="3466"/>
              </w:tabs>
              <w:spacing w:before="0" w:after="0"/>
              <w:jc w:val="both"/>
              <w:rPr>
                <w:sz w:val="16"/>
                <w:szCs w:val="16"/>
              </w:rPr>
            </w:pPr>
            <w:r>
              <w:rPr>
                <w:rFonts w:ascii="Times New Roman" w:hAnsi="Times New Roman"/>
                <w:b/>
                <w:spacing w:val="-2"/>
                <w:kern w:val="0"/>
                <w:sz w:val="16"/>
                <w:szCs w:val="16"/>
                <w:u w:val="single"/>
                <w:lang w:val="pt-BR" w:eastAsia="en-US" w:bidi="ar-SA"/>
              </w:rPr>
              <w:t>Sensor</w:t>
            </w:r>
            <w:r>
              <w:rPr>
                <w:rFonts w:ascii="Times New Roman" w:hAnsi="Times New Roman"/>
                <w:b/>
                <w:kern w:val="0"/>
                <w:sz w:val="16"/>
                <w:szCs w:val="16"/>
                <w:u w:val="single"/>
                <w:lang w:val="pt-BR" w:eastAsia="en-US" w:bidi="ar-SA"/>
              </w:rPr>
              <w:t xml:space="preserve"> </w:t>
            </w:r>
            <w:r>
              <w:rPr>
                <w:rFonts w:ascii="Times New Roman" w:hAnsi="Times New Roman"/>
                <w:b/>
                <w:spacing w:val="-5"/>
                <w:kern w:val="0"/>
                <w:sz w:val="16"/>
                <w:szCs w:val="16"/>
                <w:u w:val="single"/>
                <w:lang w:val="pt-BR" w:eastAsia="en-US" w:bidi="ar-SA"/>
              </w:rPr>
              <w:t>de</w:t>
            </w:r>
            <w:r>
              <w:rPr>
                <w:rFonts w:ascii="Times New Roman" w:hAnsi="Times New Roman"/>
                <w:b/>
                <w:kern w:val="0"/>
                <w:sz w:val="16"/>
                <w:szCs w:val="16"/>
                <w:u w:val="single"/>
                <w:lang w:val="pt-BR" w:eastAsia="en-US" w:bidi="ar-SA"/>
              </w:rPr>
              <w:t xml:space="preserve"> </w:t>
            </w:r>
            <w:r>
              <w:rPr>
                <w:rFonts w:ascii="Times New Roman" w:hAnsi="Times New Roman"/>
                <w:b/>
                <w:spacing w:val="-2"/>
                <w:kern w:val="0"/>
                <w:sz w:val="16"/>
                <w:szCs w:val="16"/>
                <w:u w:val="single"/>
                <w:lang w:val="pt-BR" w:eastAsia="en-US" w:bidi="ar-SA"/>
              </w:rPr>
              <w:t>movimento</w:t>
            </w:r>
            <w:r>
              <w:rPr>
                <w:rFonts w:ascii="Times New Roman" w:hAnsi="Times New Roman"/>
                <w:b/>
                <w:kern w:val="0"/>
                <w:sz w:val="16"/>
                <w:szCs w:val="16"/>
                <w:u w:val="single"/>
                <w:lang w:val="pt-BR" w:eastAsia="en-US" w:bidi="ar-SA"/>
              </w:rPr>
              <w:t xml:space="preserve"> </w:t>
            </w:r>
            <w:r>
              <w:rPr>
                <w:rFonts w:ascii="Times New Roman" w:hAnsi="Times New Roman"/>
                <w:b/>
                <w:spacing w:val="-2"/>
                <w:kern w:val="0"/>
                <w:sz w:val="16"/>
                <w:szCs w:val="16"/>
                <w:u w:val="single"/>
                <w:lang w:val="pt-BR" w:eastAsia="en-US" w:bidi="ar-SA"/>
              </w:rPr>
              <w:t>infraver</w:t>
            </w:r>
            <w:r>
              <w:rPr>
                <w:rFonts w:ascii="Times New Roman" w:hAnsi="Times New Roman"/>
                <w:b/>
                <w:spacing w:val="-2"/>
                <w:kern w:val="0"/>
                <w:sz w:val="16"/>
                <w:szCs w:val="16"/>
                <w:lang w:val="pt-BR" w:eastAsia="en-US" w:bidi="ar-SA"/>
              </w:rPr>
              <w:t>melho</w:t>
            </w:r>
            <w:r>
              <w:rPr>
                <w:rFonts w:ascii="Times New Roman" w:hAnsi="Times New Roman"/>
                <w:b/>
                <w:kern w:val="0"/>
                <w:sz w:val="16"/>
                <w:szCs w:val="16"/>
                <w:lang w:val="pt-BR" w:eastAsia="en-US" w:bidi="ar-SA"/>
              </w:rPr>
              <w:t xml:space="preserve">: </w:t>
            </w:r>
            <w:r>
              <w:rPr>
                <w:rFonts w:ascii="Times New Roman" w:hAnsi="Times New Roman"/>
                <w:kern w:val="0"/>
                <w:sz w:val="16"/>
                <w:szCs w:val="16"/>
                <w:lang w:val="pt-BR" w:eastAsia="en-US" w:bidi="ar-SA"/>
              </w:rPr>
              <w:t>O sensor de movimento infravermelho passivo deverá ter tecnologia para</w:t>
            </w:r>
            <w:r>
              <w:rPr>
                <w:rFonts w:ascii="Times New Roman" w:hAnsi="Times New Roman"/>
                <w:spacing w:val="80"/>
                <w:kern w:val="0"/>
                <w:sz w:val="16"/>
                <w:szCs w:val="16"/>
                <w:lang w:val="pt-BR" w:eastAsia="en-US" w:bidi="ar-SA"/>
              </w:rPr>
              <w:t xml:space="preserve"> </w:t>
            </w:r>
            <w:r>
              <w:rPr>
                <w:rFonts w:ascii="Times New Roman" w:hAnsi="Times New Roman"/>
                <w:kern w:val="0"/>
                <w:sz w:val="16"/>
                <w:szCs w:val="16"/>
                <w:lang w:val="pt-BR" w:eastAsia="en-US" w:bidi="ar-SA"/>
              </w:rPr>
              <w:t>análise do sinal e ajuste automático de temperatura. Com</w:t>
            </w:r>
            <w:r>
              <w:rPr>
                <w:rFonts w:ascii="Times New Roman" w:hAnsi="Times New Roman"/>
                <w:spacing w:val="40"/>
                <w:kern w:val="0"/>
                <w:sz w:val="16"/>
                <w:szCs w:val="16"/>
                <w:lang w:val="pt-BR" w:eastAsia="en-US" w:bidi="ar-SA"/>
              </w:rPr>
              <w:t xml:space="preserve"> </w:t>
            </w:r>
            <w:r>
              <w:rPr>
                <w:rFonts w:ascii="Times New Roman" w:hAnsi="Times New Roman"/>
                <w:kern w:val="0"/>
                <w:sz w:val="16"/>
                <w:szCs w:val="16"/>
                <w:lang w:val="pt-BR" w:eastAsia="en-US" w:bidi="ar-SA"/>
              </w:rPr>
              <w:t>detecção</w:t>
            </w:r>
            <w:r>
              <w:rPr>
                <w:rFonts w:ascii="Times New Roman" w:hAnsi="Times New Roman"/>
                <w:spacing w:val="40"/>
                <w:kern w:val="0"/>
                <w:sz w:val="16"/>
                <w:szCs w:val="16"/>
                <w:lang w:val="pt-BR" w:eastAsia="en-US" w:bidi="ar-SA"/>
              </w:rPr>
              <w:t xml:space="preserve"> </w:t>
            </w:r>
            <w:r>
              <w:rPr>
                <w:rFonts w:ascii="Times New Roman" w:hAnsi="Times New Roman"/>
                <w:kern w:val="0"/>
                <w:sz w:val="16"/>
                <w:szCs w:val="16"/>
                <w:lang w:val="pt-BR" w:eastAsia="en-US" w:bidi="ar-SA"/>
              </w:rPr>
              <w:t>para pets de até 20 kg, pelo menos. Deverá ter circuito de baixo consumo, ser de fácil instalação, possuir ângulo de detecção de 90°, configuração simples e compatível com a Central de alarme, Alcance de detecção de pelo menos 12 m,</w:t>
            </w:r>
            <w:r>
              <w:rPr>
                <w:rFonts w:ascii="Times New Roman" w:hAnsi="Times New Roman"/>
                <w:spacing w:val="40"/>
                <w:kern w:val="0"/>
                <w:sz w:val="16"/>
                <w:szCs w:val="16"/>
                <w:lang w:val="pt-BR" w:eastAsia="en-US" w:bidi="ar-SA"/>
              </w:rPr>
              <w:t xml:space="preserve"> </w:t>
            </w:r>
            <w:r>
              <w:rPr>
                <w:rFonts w:ascii="Times New Roman" w:hAnsi="Times New Roman"/>
                <w:kern w:val="0"/>
                <w:sz w:val="16"/>
                <w:szCs w:val="16"/>
                <w:lang w:val="pt-BR" w:eastAsia="en-US" w:bidi="ar-SA"/>
              </w:rPr>
              <w:t>deverá ter chave tamper anti violação frontal e traseira, LED para verificação do status de comunicação.</w:t>
            </w:r>
          </w:p>
          <w:p>
            <w:pPr>
              <w:pStyle w:val="173"/>
              <w:tabs>
                <w:tab w:val="left" w:pos="1274"/>
                <w:tab w:val="left" w:pos="1849"/>
                <w:tab w:val="left" w:pos="3466"/>
              </w:tabs>
              <w:spacing w:before="0" w:after="0"/>
              <w:jc w:val="both"/>
              <w:rPr>
                <w:rFonts w:ascii="Times New Roman" w:hAnsi="Times New Roman"/>
                <w:kern w:val="0"/>
                <w:sz w:val="16"/>
                <w:szCs w:val="16"/>
                <w:lang w:val="pt-BR" w:eastAsia="en-US" w:bidi="ar-SA"/>
              </w:rPr>
            </w:pPr>
          </w:p>
          <w:p>
            <w:pPr>
              <w:pStyle w:val="173"/>
              <w:tabs>
                <w:tab w:val="left" w:pos="1274"/>
                <w:tab w:val="left" w:pos="1849"/>
                <w:tab w:val="left" w:pos="3466"/>
              </w:tabs>
              <w:spacing w:before="0" w:after="0"/>
              <w:jc w:val="both"/>
              <w:rPr>
                <w:sz w:val="16"/>
                <w:szCs w:val="16"/>
              </w:rPr>
            </w:pPr>
            <w:r>
              <w:rPr>
                <w:rFonts w:ascii="Times New Roman" w:hAnsi="Times New Roman"/>
                <w:b/>
                <w:kern w:val="0"/>
                <w:sz w:val="16"/>
                <w:szCs w:val="16"/>
                <w:lang w:val="pt-BR" w:eastAsia="en-US" w:bidi="ar-SA"/>
              </w:rPr>
              <w:t>Todos os componentes deverão ter garantia mínima de 12 meses.</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0" w:after="0"/>
              <w:jc w:val="center"/>
              <w:rPr>
                <w:rFonts w:ascii="Times New Roman" w:hAnsi="Times New Roman"/>
                <w:b/>
                <w:bCs/>
                <w:spacing w:val="-4"/>
                <w:kern w:val="0"/>
                <w:lang w:val="pt-BR" w:eastAsia="en-US" w:bidi="ar-SA"/>
              </w:rPr>
            </w:pPr>
          </w:p>
          <w:p>
            <w:pPr>
              <w:pStyle w:val="173"/>
              <w:spacing w:before="0" w:after="0"/>
              <w:jc w:val="center"/>
              <w:rPr>
                <w:sz w:val="16"/>
                <w:szCs w:val="16"/>
              </w:rPr>
            </w:pPr>
            <w:r>
              <w:rPr>
                <w:rFonts w:ascii="Times New Roman" w:hAnsi="Times New Roman"/>
                <w:b/>
                <w:bCs/>
                <w:spacing w:val="-4"/>
                <w:kern w:val="0"/>
                <w:sz w:val="16"/>
                <w:szCs w:val="16"/>
                <w:lang w:val="pt-BR" w:eastAsia="en-US" w:bidi="ar-SA"/>
              </w:rPr>
              <w:t>00022380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0" w:after="0"/>
              <w:jc w:val="center"/>
              <w:rPr>
                <w:rFonts w:ascii="Times New Roman" w:hAnsi="Times New Roman"/>
                <w:b/>
                <w:bCs/>
                <w:spacing w:val="-4"/>
                <w:kern w:val="0"/>
                <w:lang w:val="pt-BR" w:eastAsia="en-US" w:bidi="ar-SA"/>
              </w:rPr>
            </w:pPr>
          </w:p>
          <w:p>
            <w:pPr>
              <w:pStyle w:val="173"/>
              <w:spacing w:before="0" w:after="0"/>
              <w:jc w:val="center"/>
              <w:rPr>
                <w:sz w:val="16"/>
                <w:szCs w:val="16"/>
              </w:rPr>
            </w:pPr>
            <w:r>
              <w:rPr>
                <w:rFonts w:ascii="Times New Roman" w:hAnsi="Times New Roman"/>
                <w:b/>
                <w:bCs/>
                <w:spacing w:val="-4"/>
                <w:kern w:val="0"/>
                <w:sz w:val="16"/>
                <w:szCs w:val="16"/>
                <w:lang w:val="pt-BR" w:eastAsia="en-US" w:bidi="ar-SA"/>
              </w:rPr>
              <w:t>01</w:t>
            </w:r>
          </w:p>
        </w:tc>
        <w:tc>
          <w:tcPr>
            <w:tcW w:w="827" w:type="dxa"/>
            <w:tcBorders>
              <w:top w:val="single" w:color="000000" w:sz="4" w:space="0"/>
              <w:left w:val="single" w:color="000000" w:sz="4" w:space="0"/>
              <w:bottom w:val="single" w:color="000000" w:sz="4" w:space="0"/>
            </w:tcBorders>
            <w:shd w:val="clear" w:color="auto" w:fill="auto"/>
            <w:vAlign w:val="center"/>
          </w:tcPr>
          <w:p>
            <w:pPr>
              <w:pStyle w:val="173"/>
              <w:spacing w:before="0" w:after="0" w:line="264" w:lineRule="auto"/>
              <w:jc w:val="center"/>
              <w:rPr>
                <w:rFonts w:ascii="Times New Roman" w:hAnsi="Times New Roman"/>
                <w:b/>
                <w:bCs/>
                <w:kern w:val="0"/>
                <w:lang w:val="pt-BR" w:eastAsia="en-US" w:bidi="ar-SA"/>
              </w:rPr>
            </w:pPr>
          </w:p>
          <w:p>
            <w:pPr>
              <w:pStyle w:val="173"/>
              <w:spacing w:before="0" w:after="0" w:line="264" w:lineRule="auto"/>
              <w:jc w:val="center"/>
              <w:rPr>
                <w:sz w:val="16"/>
                <w:szCs w:val="16"/>
              </w:rPr>
            </w:pPr>
            <w:r>
              <w:rPr>
                <w:rFonts w:ascii="Times New Roman" w:hAnsi="Times New Roman"/>
                <w:b/>
                <w:bCs/>
                <w:kern w:val="0"/>
                <w:sz w:val="16"/>
                <w:szCs w:val="16"/>
                <w:lang w:val="pt-BR" w:eastAsia="en-US" w:bidi="ar-SA"/>
              </w:rPr>
              <w:t>UN</w:t>
            </w:r>
          </w:p>
        </w:tc>
        <w:tc>
          <w:tcPr>
            <w:tcW w:w="1209" w:type="dxa"/>
            <w:tcBorders>
              <w:top w:val="single" w:color="000000" w:sz="4" w:space="0"/>
              <w:left w:val="single" w:color="000000" w:sz="4" w:space="0"/>
              <w:bottom w:val="single" w:color="000000" w:sz="4" w:space="0"/>
            </w:tcBorders>
            <w:shd w:val="clear" w:color="auto" w:fill="auto"/>
            <w:vAlign w:val="center"/>
          </w:tcPr>
          <w:p>
            <w:pPr>
              <w:pStyle w:val="173"/>
              <w:spacing w:before="0" w:after="0" w:line="264" w:lineRule="auto"/>
              <w:jc w:val="both"/>
              <w:rPr>
                <w:rFonts w:ascii="Times New Roman" w:hAnsi="Times New Roman"/>
                <w:b/>
                <w:bCs/>
              </w:rPr>
            </w:pPr>
          </w:p>
          <w:p>
            <w:pPr>
              <w:pStyle w:val="173"/>
              <w:spacing w:before="0" w:after="0" w:line="264" w:lineRule="auto"/>
              <w:jc w:val="both"/>
              <w:rPr>
                <w:sz w:val="16"/>
                <w:szCs w:val="16"/>
              </w:rPr>
            </w:pPr>
            <w:r>
              <w:rPr>
                <w:rFonts w:ascii="Times New Roman" w:hAnsi="Times New Roman"/>
                <w:b/>
                <w:bCs/>
                <w:sz w:val="16"/>
                <w:szCs w:val="16"/>
              </w:rPr>
              <w:t>13.569,73</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0" w:after="0" w:line="264" w:lineRule="auto"/>
              <w:jc w:val="both"/>
              <w:rPr>
                <w:rFonts w:ascii="Times New Roman" w:hAnsi="Times New Roman"/>
                <w:b/>
                <w:bCs/>
              </w:rPr>
            </w:pPr>
          </w:p>
          <w:p>
            <w:pPr>
              <w:pStyle w:val="173"/>
              <w:spacing w:before="0" w:after="0" w:line="264" w:lineRule="auto"/>
              <w:jc w:val="both"/>
              <w:rPr>
                <w:sz w:val="16"/>
                <w:szCs w:val="16"/>
              </w:rPr>
            </w:pPr>
            <w:r>
              <w:rPr>
                <w:rFonts w:ascii="Times New Roman" w:hAnsi="Times New Roman"/>
                <w:b/>
                <w:bCs/>
                <w:sz w:val="16"/>
                <w:szCs w:val="16"/>
              </w:rPr>
              <w:t>13.569,73</w:t>
            </w:r>
          </w:p>
        </w:tc>
      </w:tr>
      <w:tr>
        <w:tblPrEx>
          <w:tblCellMar>
            <w:top w:w="0" w:type="dxa"/>
            <w:left w:w="7" w:type="dxa"/>
            <w:bottom w:w="0" w:type="dxa"/>
            <w:right w:w="7" w:type="dxa"/>
          </w:tblCellMar>
        </w:tblPrEx>
        <w:trPr>
          <w:trHeight w:val="60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226" w:after="0"/>
              <w:jc w:val="both"/>
              <w:rPr>
                <w:rFonts w:ascii="Times New Roman" w:hAnsi="Times New Roman"/>
                <w:b/>
                <w:spacing w:val="-5"/>
                <w:kern w:val="0"/>
                <w:lang w:val="pt-BR" w:eastAsia="en-US" w:bidi="ar-SA"/>
              </w:rPr>
            </w:pPr>
          </w:p>
          <w:p>
            <w:pPr>
              <w:pStyle w:val="173"/>
              <w:spacing w:before="226" w:after="0"/>
              <w:jc w:val="both"/>
              <w:rPr>
                <w:sz w:val="16"/>
                <w:szCs w:val="16"/>
              </w:rPr>
            </w:pPr>
            <w:r>
              <w:rPr>
                <w:rFonts w:ascii="Times New Roman" w:hAnsi="Times New Roman"/>
                <w:b/>
                <w:spacing w:val="-5"/>
                <w:kern w:val="0"/>
                <w:sz w:val="16"/>
                <w:szCs w:val="16"/>
                <w:lang w:val="pt-BR" w:eastAsia="en-US" w:bidi="ar-SA"/>
              </w:rPr>
              <w:t>2</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226" w:after="0"/>
              <w:jc w:val="both"/>
              <w:rPr>
                <w:sz w:val="16"/>
                <w:szCs w:val="16"/>
              </w:rPr>
            </w:pPr>
            <w:r>
              <w:rPr>
                <w:rFonts w:ascii="Times New Roman" w:hAnsi="Times New Roman"/>
                <w:b/>
                <w:kern w:val="0"/>
                <w:sz w:val="16"/>
                <w:szCs w:val="16"/>
                <w:u w:val="single"/>
                <w:lang w:val="pt-BR" w:eastAsia="en-US" w:bidi="ar-SA"/>
              </w:rPr>
              <w:t xml:space="preserve">NVR 32 CANAIS com HD 08 </w:t>
            </w:r>
            <w:r>
              <w:rPr>
                <w:rFonts w:ascii="Times New Roman" w:hAnsi="Times New Roman"/>
                <w:b/>
                <w:spacing w:val="-5"/>
                <w:kern w:val="0"/>
                <w:sz w:val="16"/>
                <w:szCs w:val="16"/>
                <w:u w:val="single"/>
                <w:lang w:val="pt-BR" w:eastAsia="en-US" w:bidi="ar-SA"/>
              </w:rPr>
              <w:t>TB:</w:t>
            </w:r>
          </w:p>
          <w:p>
            <w:pPr>
              <w:pStyle w:val="173"/>
              <w:spacing w:before="226" w:after="0"/>
              <w:jc w:val="both"/>
              <w:rPr>
                <w:rFonts w:ascii="Times New Roman" w:hAnsi="Times New Roman"/>
                <w:kern w:val="0"/>
                <w:sz w:val="16"/>
                <w:szCs w:val="16"/>
                <w:lang w:val="pt-BR" w:eastAsia="en-US" w:bidi="ar-SA"/>
              </w:rPr>
            </w:pPr>
          </w:p>
          <w:p>
            <w:pPr>
              <w:pStyle w:val="173"/>
              <w:spacing w:before="0" w:after="0"/>
              <w:jc w:val="both"/>
              <w:rPr>
                <w:sz w:val="16"/>
                <w:szCs w:val="16"/>
              </w:rPr>
            </w:pPr>
            <w:r>
              <w:rPr>
                <w:rFonts w:ascii="Times New Roman" w:hAnsi="Times New Roman"/>
                <w:kern w:val="0"/>
                <w:sz w:val="16"/>
                <w:szCs w:val="16"/>
                <w:lang w:val="pt-BR" w:eastAsia="en-US" w:bidi="ar-SA"/>
              </w:rPr>
              <w:t xml:space="preserve">NVR 32 CANAIS H265+ SATA 3 </w:t>
            </w:r>
            <w:r>
              <w:rPr>
                <w:rFonts w:ascii="Times New Roman" w:hAnsi="Times New Roman"/>
                <w:spacing w:val="-4"/>
                <w:kern w:val="0"/>
                <w:sz w:val="16"/>
                <w:szCs w:val="16"/>
                <w:lang w:val="pt-BR" w:eastAsia="en-US" w:bidi="ar-SA"/>
              </w:rPr>
              <w:t>com:</w:t>
            </w:r>
          </w:p>
          <w:p>
            <w:pPr>
              <w:pStyle w:val="173"/>
              <w:spacing w:before="0" w:after="0"/>
              <w:jc w:val="both"/>
              <w:rPr>
                <w:rFonts w:ascii="Times New Roman" w:hAnsi="Times New Roman"/>
                <w:spacing w:val="-4"/>
                <w:kern w:val="0"/>
                <w:sz w:val="16"/>
                <w:szCs w:val="16"/>
                <w:lang w:val="pt-BR" w:eastAsia="en-US" w:bidi="ar-SA"/>
              </w:rPr>
            </w:pPr>
          </w:p>
          <w:p>
            <w:pPr>
              <w:pStyle w:val="173"/>
              <w:spacing w:before="0" w:after="0" w:line="264" w:lineRule="auto"/>
              <w:jc w:val="both"/>
              <w:rPr>
                <w:sz w:val="16"/>
                <w:szCs w:val="16"/>
              </w:rPr>
            </w:pPr>
            <w:r>
              <w:rPr>
                <w:rFonts w:ascii="Times New Roman" w:hAnsi="Times New Roman"/>
                <w:kern w:val="0"/>
                <w:sz w:val="16"/>
                <w:szCs w:val="16"/>
                <w:lang w:val="pt-BR" w:eastAsia="en-US" w:bidi="ar-SA"/>
              </w:rPr>
              <w:t>processador de alto desempenho, entrada de vídeo,</w:t>
            </w:r>
          </w:p>
          <w:p>
            <w:pPr>
              <w:pStyle w:val="173"/>
              <w:spacing w:before="0" w:after="0" w:line="264" w:lineRule="auto"/>
              <w:jc w:val="both"/>
              <w:rPr>
                <w:sz w:val="16"/>
                <w:szCs w:val="16"/>
              </w:rPr>
            </w:pPr>
            <w:r>
              <w:rPr>
                <w:rFonts w:ascii="Times New Roman" w:hAnsi="Times New Roman"/>
                <w:kern w:val="0"/>
                <w:sz w:val="16"/>
                <w:szCs w:val="16"/>
                <w:lang w:val="pt-BR" w:eastAsia="en-US" w:bidi="ar-SA"/>
              </w:rPr>
              <w:t>suporte para 32 câmeras IP,</w:t>
            </w:r>
          </w:p>
          <w:p>
            <w:pPr>
              <w:pStyle w:val="173"/>
              <w:spacing w:before="0" w:after="0" w:line="264" w:lineRule="auto"/>
              <w:jc w:val="both"/>
              <w:rPr>
                <w:sz w:val="16"/>
                <w:szCs w:val="16"/>
              </w:rPr>
            </w:pPr>
            <w:r>
              <w:rPr>
                <w:rFonts w:ascii="Times New Roman" w:hAnsi="Times New Roman"/>
                <w:kern w:val="0"/>
                <w:sz w:val="16"/>
                <w:szCs w:val="16"/>
                <w:lang w:val="pt-BR" w:eastAsia="en-US" w:bidi="ar-SA"/>
              </w:rPr>
              <w:t>saídas de vídeo no mínimo 1 HDMI e 1 VGA, resoluções suportadas no monitor HDMI 3.840 × 2.160, 1920 × 1080,1280 × 1024, 1280 × 720,</w:t>
            </w:r>
          </w:p>
          <w:p>
            <w:pPr>
              <w:pStyle w:val="173"/>
              <w:spacing w:before="0" w:after="0" w:line="264" w:lineRule="auto"/>
              <w:jc w:val="both"/>
              <w:rPr>
                <w:sz w:val="16"/>
                <w:szCs w:val="16"/>
              </w:rPr>
            </w:pPr>
            <w:r>
              <w:rPr>
                <w:rFonts w:ascii="Times New Roman" w:hAnsi="Times New Roman"/>
                <w:kern w:val="0"/>
                <w:sz w:val="16"/>
                <w:szCs w:val="16"/>
                <w:lang w:val="pt-BR" w:eastAsia="en-US" w:bidi="ar-SA"/>
              </w:rPr>
              <w:t>resoluções suportadas no monitor VGA 11920 × 1080, 1280 × 1024,1280 × 720,</w:t>
            </w:r>
          </w:p>
          <w:p>
            <w:pPr>
              <w:pStyle w:val="173"/>
              <w:spacing w:before="0" w:after="0" w:line="264" w:lineRule="auto"/>
              <w:jc w:val="both"/>
              <w:rPr>
                <w:sz w:val="16"/>
                <w:szCs w:val="16"/>
              </w:rPr>
            </w:pPr>
            <w:r>
              <w:rPr>
                <w:rFonts w:ascii="Times New Roman" w:hAnsi="Times New Roman"/>
                <w:kern w:val="0"/>
                <w:sz w:val="16"/>
                <w:szCs w:val="16"/>
                <w:lang w:val="pt-BR" w:eastAsia="en-US" w:bidi="ar-SA"/>
              </w:rPr>
              <w:t>quantidade de canais exibidos na tela 1, 4, 8, 9, 16,</w:t>
            </w:r>
          </w:p>
          <w:p>
            <w:pPr>
              <w:pStyle w:val="173"/>
              <w:spacing w:before="0" w:after="0" w:line="264" w:lineRule="auto"/>
              <w:jc w:val="both"/>
              <w:rPr>
                <w:sz w:val="16"/>
                <w:szCs w:val="16"/>
              </w:rPr>
            </w:pPr>
            <w:r>
              <w:rPr>
                <w:rFonts w:ascii="Times New Roman" w:hAnsi="Times New Roman"/>
                <w:kern w:val="0"/>
                <w:sz w:val="16"/>
                <w:szCs w:val="16"/>
                <w:lang w:val="pt-BR" w:eastAsia="en-US" w:bidi="ar-SA"/>
              </w:rPr>
              <w:t>25 e 32,</w:t>
            </w:r>
          </w:p>
          <w:p>
            <w:pPr>
              <w:pStyle w:val="173"/>
              <w:spacing w:before="0" w:after="0" w:line="264" w:lineRule="auto"/>
              <w:jc w:val="both"/>
              <w:rPr>
                <w:sz w:val="16"/>
                <w:szCs w:val="16"/>
              </w:rPr>
            </w:pPr>
            <w:r>
              <w:rPr>
                <w:rFonts w:ascii="Times New Roman" w:hAnsi="Times New Roman"/>
                <w:kern w:val="0"/>
                <w:sz w:val="16"/>
                <w:szCs w:val="16"/>
                <w:lang w:val="pt-BR" w:eastAsia="en-US" w:bidi="ar-SA"/>
              </w:rPr>
              <w:t>com resoluções suportadas na visualização 8MP (4K), 6MP, 5MP, 4MP, 3MP, 2MP(Full HD/1080p), 1MP(HD/720p), D1, CIF,</w:t>
            </w:r>
          </w:p>
          <w:p>
            <w:pPr>
              <w:pStyle w:val="173"/>
              <w:spacing w:before="0" w:after="0" w:line="264" w:lineRule="auto"/>
              <w:jc w:val="both"/>
              <w:rPr>
                <w:sz w:val="16"/>
                <w:szCs w:val="16"/>
              </w:rPr>
            </w:pPr>
            <w:r>
              <w:rPr>
                <w:rFonts w:ascii="Times New Roman" w:hAnsi="Times New Roman"/>
                <w:kern w:val="0"/>
                <w:sz w:val="16"/>
                <w:szCs w:val="16"/>
                <w:lang w:val="pt-BR" w:eastAsia="en-US" w:bidi="ar-SA"/>
              </w:rPr>
              <w:t>com Zoom digital,</w:t>
            </w:r>
          </w:p>
          <w:p>
            <w:pPr>
              <w:pStyle w:val="173"/>
              <w:spacing w:before="0" w:after="0" w:line="264" w:lineRule="auto"/>
              <w:jc w:val="both"/>
              <w:rPr>
                <w:sz w:val="16"/>
                <w:szCs w:val="16"/>
              </w:rPr>
            </w:pPr>
            <w:r>
              <w:rPr>
                <w:rFonts w:ascii="Times New Roman" w:hAnsi="Times New Roman"/>
                <w:kern w:val="0"/>
                <w:sz w:val="16"/>
                <w:szCs w:val="16"/>
                <w:lang w:val="pt-BR" w:eastAsia="en-US" w:bidi="ar-SA"/>
              </w:rPr>
              <w:t>com Controle de contas de usuário com permissões de acesso ao sistema,</w:t>
            </w:r>
          </w:p>
          <w:p>
            <w:pPr>
              <w:pStyle w:val="173"/>
              <w:spacing w:before="0" w:after="0" w:line="264" w:lineRule="auto"/>
              <w:jc w:val="both"/>
              <w:rPr>
                <w:sz w:val="16"/>
                <w:szCs w:val="16"/>
              </w:rPr>
            </w:pPr>
            <w:r>
              <w:rPr>
                <w:rFonts w:ascii="Times New Roman" w:hAnsi="Times New Roman"/>
                <w:kern w:val="0"/>
                <w:sz w:val="16"/>
                <w:szCs w:val="16"/>
                <w:lang w:val="pt-BR" w:eastAsia="en-US" w:bidi="ar-SA"/>
              </w:rPr>
              <w:t>gravação com sistema de compressão dos arquivos H.265/H.264/H.264H/H.264B/MJPEG resoluções de gravação suportadas 8MP(4K), 6MP, 5MP, 4MP, 3MP, 2MP(Full HD/1080p), 1MP(HD</w:t>
            </w:r>
          </w:p>
          <w:p>
            <w:pPr>
              <w:pStyle w:val="173"/>
              <w:spacing w:before="0" w:after="0" w:line="264" w:lineRule="auto"/>
              <w:jc w:val="both"/>
              <w:rPr>
                <w:sz w:val="16"/>
                <w:szCs w:val="16"/>
              </w:rPr>
            </w:pPr>
            <w:r>
              <w:rPr>
                <w:rFonts w:ascii="Times New Roman" w:hAnsi="Times New Roman"/>
                <w:kern w:val="0"/>
                <w:sz w:val="16"/>
                <w:szCs w:val="16"/>
                <w:lang w:val="pt-BR" w:eastAsia="en-US" w:bidi="ar-SA"/>
              </w:rPr>
              <w:t>/720p), D1, CIF,</w:t>
            </w:r>
          </w:p>
          <w:p>
            <w:pPr>
              <w:pStyle w:val="173"/>
              <w:spacing w:before="0" w:after="0" w:line="264" w:lineRule="auto"/>
              <w:jc w:val="both"/>
              <w:rPr>
                <w:sz w:val="16"/>
                <w:szCs w:val="16"/>
              </w:rPr>
            </w:pPr>
            <w:r>
              <w:rPr>
                <w:rFonts w:ascii="Times New Roman" w:hAnsi="Times New Roman"/>
                <w:kern w:val="0"/>
                <w:sz w:val="16"/>
                <w:szCs w:val="16"/>
                <w:lang w:val="pt-BR" w:eastAsia="en-US" w:bidi="ar-SA"/>
              </w:rPr>
              <w:t>taxa de frames suportada para gravação por resolução 8MP(4K), 6MP, 5MP,4MP, 3MP, 2MP</w:t>
            </w:r>
          </w:p>
          <w:p>
            <w:pPr>
              <w:pStyle w:val="173"/>
              <w:spacing w:before="0" w:after="0" w:line="264" w:lineRule="auto"/>
              <w:jc w:val="both"/>
              <w:rPr>
                <w:sz w:val="16"/>
                <w:szCs w:val="16"/>
              </w:rPr>
            </w:pPr>
            <w:r>
              <w:rPr>
                <w:rFonts w:ascii="Times New Roman" w:hAnsi="Times New Roman"/>
                <w:kern w:val="0"/>
                <w:sz w:val="16"/>
                <w:szCs w:val="16"/>
                <w:lang w:val="pt-BR" w:eastAsia="en-US" w:bidi="ar-SA"/>
              </w:rPr>
              <w:t>(Full HD/1080p), 1MP(HD/720p), D1, CIF todos em até 30 FPS,</w:t>
            </w:r>
          </w:p>
          <w:p>
            <w:pPr>
              <w:pStyle w:val="173"/>
              <w:spacing w:before="0" w:after="0" w:line="264" w:lineRule="auto"/>
              <w:jc w:val="both"/>
              <w:rPr>
                <w:sz w:val="16"/>
                <w:szCs w:val="16"/>
              </w:rPr>
            </w:pPr>
            <w:r>
              <w:rPr>
                <w:rFonts w:ascii="Times New Roman" w:hAnsi="Times New Roman"/>
                <w:kern w:val="0"/>
                <w:sz w:val="16"/>
                <w:szCs w:val="16"/>
                <w:lang w:val="pt-BR" w:eastAsia="en-US" w:bidi="ar-SA"/>
              </w:rPr>
              <w:t>taxa de bit rate suportada para gravação 180 Mbps, considerando uma taxa de frames de 30 FPS. armazenamento disco rígido com capacidade mínima de 8TB SATA 3;</w:t>
            </w:r>
          </w:p>
          <w:p>
            <w:pPr>
              <w:pStyle w:val="173"/>
              <w:spacing w:before="0" w:after="0" w:line="264" w:lineRule="auto"/>
              <w:jc w:val="both"/>
              <w:rPr>
                <w:rFonts w:ascii="Times New Roman" w:hAnsi="Times New Roman"/>
                <w:kern w:val="0"/>
                <w:sz w:val="16"/>
                <w:szCs w:val="16"/>
                <w:lang w:val="pt-BR" w:eastAsia="en-US" w:bidi="ar-SA"/>
              </w:rPr>
            </w:pPr>
          </w:p>
          <w:p>
            <w:pPr>
              <w:pStyle w:val="173"/>
              <w:spacing w:before="0" w:after="0" w:line="264" w:lineRule="auto"/>
              <w:jc w:val="both"/>
              <w:rPr>
                <w:sz w:val="16"/>
                <w:szCs w:val="16"/>
              </w:rPr>
            </w:pPr>
            <w:r>
              <w:rPr>
                <w:rFonts w:ascii="Times New Roman" w:hAnsi="Times New Roman"/>
                <w:b/>
                <w:kern w:val="0"/>
                <w:sz w:val="16"/>
                <w:szCs w:val="16"/>
                <w:lang w:val="pt-BR" w:eastAsia="en-US" w:bidi="ar-SA"/>
              </w:rPr>
              <w:t>Deverá ser fornecido junto com o NVR um</w:t>
            </w:r>
            <w:r>
              <w:rPr>
                <w:rFonts w:ascii="Times New Roman" w:hAnsi="Times New Roman"/>
                <w:b/>
                <w:spacing w:val="40"/>
                <w:kern w:val="0"/>
                <w:sz w:val="16"/>
                <w:szCs w:val="16"/>
                <w:lang w:val="pt-BR" w:eastAsia="en-US" w:bidi="ar-SA"/>
              </w:rPr>
              <w:t xml:space="preserve"> </w:t>
            </w:r>
            <w:r>
              <w:rPr>
                <w:rFonts w:ascii="Times New Roman" w:hAnsi="Times New Roman"/>
                <w:b/>
                <w:kern w:val="0"/>
                <w:sz w:val="16"/>
                <w:szCs w:val="16"/>
                <w:lang w:val="pt-BR" w:eastAsia="en-US" w:bidi="ar-SA"/>
              </w:rPr>
              <w:t>HD 08 TB</w:t>
            </w:r>
            <w:r>
              <w:rPr>
                <w:rFonts w:ascii="Times New Roman" w:hAnsi="Times New Roman"/>
                <w:kern w:val="0"/>
                <w:sz w:val="16"/>
                <w:szCs w:val="16"/>
                <w:lang w:val="pt-BR" w:eastAsia="en-US" w:bidi="ar-SA"/>
              </w:rPr>
              <w:t>, Disco rígido especial para segurança eletrônica com operação 24 horas por dia 7 dias por semana, estabilidade na gravação de dados, velocidade de disco controlada, dissipação de calor otimizada, baixo</w:t>
            </w:r>
            <w:r>
              <w:rPr>
                <w:rFonts w:ascii="Times New Roman" w:hAnsi="Times New Roman"/>
                <w:spacing w:val="80"/>
                <w:kern w:val="0"/>
                <w:sz w:val="16"/>
                <w:szCs w:val="16"/>
                <w:lang w:val="pt-BR" w:eastAsia="en-US" w:bidi="ar-SA"/>
              </w:rPr>
              <w:t xml:space="preserve"> </w:t>
            </w:r>
            <w:r>
              <w:rPr>
                <w:rFonts w:ascii="Times New Roman" w:hAnsi="Times New Roman"/>
                <w:kern w:val="0"/>
                <w:sz w:val="16"/>
                <w:szCs w:val="16"/>
                <w:lang w:val="pt-BR" w:eastAsia="en-US" w:bidi="ar-SA"/>
              </w:rPr>
              <w:t>consumo de energia e nível de ruído.</w:t>
            </w:r>
          </w:p>
          <w:p>
            <w:pPr>
              <w:pStyle w:val="173"/>
              <w:spacing w:before="0" w:after="0" w:line="264" w:lineRule="auto"/>
              <w:jc w:val="both"/>
              <w:rPr>
                <w:rFonts w:ascii="Times New Roman" w:hAnsi="Times New Roman"/>
                <w:kern w:val="0"/>
                <w:sz w:val="16"/>
                <w:szCs w:val="16"/>
                <w:lang w:val="pt-BR" w:eastAsia="en-US" w:bidi="ar-SA"/>
              </w:rPr>
            </w:pPr>
          </w:p>
          <w:p>
            <w:pPr>
              <w:pStyle w:val="173"/>
              <w:spacing w:before="0" w:after="0" w:line="264" w:lineRule="auto"/>
              <w:jc w:val="both"/>
              <w:rPr>
                <w:sz w:val="16"/>
                <w:szCs w:val="16"/>
              </w:rPr>
            </w:pPr>
            <w:r>
              <w:rPr>
                <w:rFonts w:ascii="Times New Roman" w:hAnsi="Times New Roman"/>
                <w:kern w:val="0"/>
                <w:sz w:val="16"/>
                <w:szCs w:val="16"/>
                <w:lang w:val="pt-BR" w:eastAsia="en-US" w:bidi="ar-SA"/>
              </w:rPr>
              <w:t>O Kit ainda deverá conter os seguintes itens:</w:t>
            </w:r>
          </w:p>
          <w:p>
            <w:pPr>
              <w:pStyle w:val="173"/>
              <w:spacing w:before="0" w:after="0" w:line="264" w:lineRule="auto"/>
              <w:jc w:val="both"/>
              <w:rPr>
                <w:rFonts w:ascii="Times New Roman" w:hAnsi="Times New Roman"/>
                <w:kern w:val="0"/>
                <w:sz w:val="16"/>
                <w:szCs w:val="16"/>
                <w:lang w:val="pt-BR" w:eastAsia="en-US" w:bidi="ar-SA"/>
              </w:rPr>
            </w:pPr>
          </w:p>
          <w:p>
            <w:pPr>
              <w:pStyle w:val="173"/>
              <w:spacing w:before="0" w:after="0" w:line="264" w:lineRule="auto"/>
              <w:jc w:val="both"/>
              <w:rPr>
                <w:sz w:val="16"/>
                <w:szCs w:val="16"/>
              </w:rPr>
            </w:pPr>
            <w:r>
              <w:rPr>
                <w:rFonts w:ascii="Times New Roman" w:hAnsi="Times New Roman"/>
                <w:kern w:val="0"/>
                <w:sz w:val="16"/>
                <w:szCs w:val="16"/>
                <w:lang w:eastAsia="en-US" w:bidi="ar-SA"/>
              </w:rPr>
              <w:t>SWITCH 16 PORTAS</w:t>
            </w:r>
          </w:p>
          <w:p>
            <w:pPr>
              <w:pStyle w:val="173"/>
              <w:spacing w:before="0" w:after="0" w:line="264" w:lineRule="auto"/>
              <w:jc w:val="both"/>
              <w:rPr>
                <w:rFonts w:ascii="Times New Roman" w:hAnsi="Times New Roman"/>
                <w:kern w:val="0"/>
                <w:sz w:val="16"/>
                <w:szCs w:val="16"/>
                <w:lang w:val="pt-BR" w:eastAsia="en-US" w:bidi="ar-SA"/>
              </w:rPr>
            </w:pPr>
          </w:p>
          <w:p>
            <w:pPr>
              <w:pStyle w:val="173"/>
              <w:spacing w:before="0" w:after="0" w:line="264" w:lineRule="auto"/>
              <w:jc w:val="both"/>
              <w:rPr>
                <w:sz w:val="16"/>
                <w:szCs w:val="16"/>
              </w:rPr>
            </w:pPr>
            <w:r>
              <w:rPr>
                <w:rFonts w:ascii="Times New Roman" w:hAnsi="Times New Roman"/>
                <w:b/>
                <w:kern w:val="0"/>
                <w:sz w:val="16"/>
                <w:szCs w:val="16"/>
                <w:lang w:val="pt-BR" w:eastAsia="en-US" w:bidi="ar-SA"/>
              </w:rPr>
              <w:t xml:space="preserve">Garantia mínima: 12 </w:t>
            </w:r>
            <w:r>
              <w:rPr>
                <w:rFonts w:ascii="Times New Roman" w:hAnsi="Times New Roman"/>
                <w:b/>
                <w:spacing w:val="-2"/>
                <w:kern w:val="0"/>
                <w:sz w:val="16"/>
                <w:szCs w:val="16"/>
                <w:lang w:val="pt-BR" w:eastAsia="en-US" w:bidi="ar-SA"/>
              </w:rPr>
              <w:t>meses.</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0" w:after="0" w:line="264" w:lineRule="auto"/>
              <w:jc w:val="both"/>
              <w:rPr>
                <w:rFonts w:ascii="Times New Roman" w:hAnsi="Times New Roman"/>
                <w:b/>
                <w:bCs/>
                <w:kern w:val="0"/>
                <w:sz w:val="16"/>
                <w:szCs w:val="16"/>
                <w:lang w:val="pt-BR" w:eastAsia="en-US" w:bidi="ar-SA"/>
              </w:rPr>
            </w:pPr>
          </w:p>
          <w:p>
            <w:pPr>
              <w:pStyle w:val="173"/>
              <w:spacing w:before="0" w:after="0" w:line="264" w:lineRule="auto"/>
              <w:jc w:val="both"/>
              <w:rPr>
                <w:sz w:val="16"/>
                <w:szCs w:val="16"/>
              </w:rPr>
            </w:pPr>
          </w:p>
          <w:p>
            <w:pPr>
              <w:pStyle w:val="173"/>
              <w:spacing w:before="0" w:after="0" w:line="264" w:lineRule="auto"/>
              <w:jc w:val="both"/>
              <w:rPr>
                <w:sz w:val="16"/>
                <w:szCs w:val="16"/>
              </w:rPr>
            </w:pPr>
          </w:p>
          <w:p>
            <w:pPr>
              <w:pStyle w:val="173"/>
              <w:spacing w:before="0" w:after="0" w:line="264" w:lineRule="auto"/>
              <w:jc w:val="both"/>
              <w:rPr>
                <w:rFonts w:ascii="Times New Roman" w:hAnsi="Times New Roman"/>
                <w:b/>
                <w:bCs/>
                <w:kern w:val="0"/>
                <w:lang w:val="pt-BR" w:eastAsia="en-US" w:bidi="ar-SA"/>
              </w:rPr>
            </w:pPr>
          </w:p>
          <w:p>
            <w:pPr>
              <w:pStyle w:val="173"/>
              <w:spacing w:before="0" w:after="0" w:line="264" w:lineRule="auto"/>
              <w:jc w:val="both"/>
              <w:rPr>
                <w:sz w:val="16"/>
                <w:szCs w:val="16"/>
              </w:rPr>
            </w:pPr>
            <w:r>
              <w:rPr>
                <w:rFonts w:ascii="Times New Roman" w:hAnsi="Times New Roman"/>
                <w:b/>
                <w:bCs/>
                <w:kern w:val="0"/>
                <w:sz w:val="16"/>
                <w:szCs w:val="16"/>
                <w:lang w:val="pt-BR" w:eastAsia="en-US" w:bidi="ar-SA"/>
              </w:rPr>
              <w:t>00065333</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0" w:after="0"/>
              <w:jc w:val="both"/>
              <w:rPr>
                <w:rFonts w:ascii="Times New Roman" w:hAnsi="Times New Roman"/>
                <w:b/>
                <w:bCs/>
                <w:spacing w:val="-4"/>
                <w:kern w:val="0"/>
                <w:sz w:val="16"/>
                <w:szCs w:val="16"/>
                <w:lang w:val="pt-BR" w:eastAsia="en-US" w:bidi="ar-SA"/>
              </w:rPr>
            </w:pPr>
          </w:p>
          <w:p>
            <w:pPr>
              <w:pStyle w:val="173"/>
              <w:spacing w:before="0" w:after="0"/>
              <w:jc w:val="both"/>
              <w:rPr>
                <w:sz w:val="16"/>
                <w:szCs w:val="16"/>
              </w:rPr>
            </w:pPr>
          </w:p>
          <w:p>
            <w:pPr>
              <w:pStyle w:val="173"/>
              <w:spacing w:before="0" w:after="0"/>
              <w:jc w:val="both"/>
              <w:rPr>
                <w:rFonts w:ascii="Times New Roman" w:hAnsi="Times New Roman"/>
                <w:b/>
                <w:bCs/>
                <w:spacing w:val="-4"/>
                <w:kern w:val="0"/>
                <w:lang w:val="pt-BR" w:eastAsia="en-US" w:bidi="ar-SA"/>
              </w:rPr>
            </w:pPr>
          </w:p>
          <w:p>
            <w:pPr>
              <w:pStyle w:val="173"/>
              <w:spacing w:before="0" w:after="0"/>
              <w:jc w:val="both"/>
              <w:rPr>
                <w:rFonts w:ascii="Times New Roman" w:hAnsi="Times New Roman"/>
                <w:b/>
                <w:bCs/>
                <w:spacing w:val="-4"/>
                <w:kern w:val="0"/>
                <w:lang w:val="pt-BR" w:eastAsia="en-US" w:bidi="ar-SA"/>
              </w:rPr>
            </w:pPr>
          </w:p>
          <w:p>
            <w:pPr>
              <w:pStyle w:val="173"/>
              <w:spacing w:before="0" w:after="0"/>
              <w:jc w:val="both"/>
              <w:rPr>
                <w:sz w:val="16"/>
                <w:szCs w:val="16"/>
              </w:rPr>
            </w:pPr>
            <w:r>
              <w:rPr>
                <w:rFonts w:ascii="Times New Roman" w:hAnsi="Times New Roman"/>
                <w:b/>
                <w:bCs/>
                <w:spacing w:val="-4"/>
                <w:kern w:val="0"/>
                <w:sz w:val="16"/>
                <w:szCs w:val="16"/>
                <w:lang w:val="pt-BR" w:eastAsia="en-US" w:bidi="ar-SA"/>
              </w:rPr>
              <w:t>02</w:t>
            </w:r>
          </w:p>
        </w:tc>
        <w:tc>
          <w:tcPr>
            <w:tcW w:w="827" w:type="dxa"/>
            <w:tcBorders>
              <w:top w:val="single" w:color="000000" w:sz="4" w:space="0"/>
              <w:left w:val="single" w:color="000000" w:sz="4" w:space="0"/>
              <w:bottom w:val="single" w:color="000000" w:sz="4" w:space="0"/>
            </w:tcBorders>
            <w:shd w:val="clear" w:color="auto" w:fill="auto"/>
            <w:vAlign w:val="center"/>
          </w:tcPr>
          <w:p>
            <w:pPr>
              <w:pStyle w:val="173"/>
              <w:spacing w:before="0" w:after="0" w:line="264" w:lineRule="auto"/>
              <w:jc w:val="both"/>
              <w:rPr>
                <w:rFonts w:ascii="Times New Roman" w:hAnsi="Times New Roman"/>
                <w:b/>
                <w:bCs/>
                <w:kern w:val="0"/>
                <w:sz w:val="16"/>
                <w:szCs w:val="16"/>
                <w:lang w:val="pt-BR" w:eastAsia="en-US" w:bidi="ar-SA"/>
              </w:rPr>
            </w:pPr>
          </w:p>
          <w:p>
            <w:pPr>
              <w:pStyle w:val="173"/>
              <w:spacing w:before="0" w:after="0" w:line="264" w:lineRule="auto"/>
              <w:jc w:val="both"/>
              <w:rPr>
                <w:kern w:val="0"/>
                <w:sz w:val="16"/>
                <w:szCs w:val="16"/>
                <w:lang w:val="pt-BR" w:eastAsia="en-US" w:bidi="ar-SA"/>
              </w:rPr>
            </w:pPr>
          </w:p>
          <w:p>
            <w:pPr>
              <w:pStyle w:val="173"/>
              <w:spacing w:before="0" w:after="0" w:line="264" w:lineRule="auto"/>
              <w:jc w:val="both"/>
              <w:rPr>
                <w:rFonts w:ascii="Times New Roman" w:hAnsi="Times New Roman"/>
                <w:b/>
                <w:bCs/>
                <w:kern w:val="0"/>
                <w:lang w:val="pt-BR" w:eastAsia="en-US" w:bidi="ar-SA"/>
              </w:rPr>
            </w:pPr>
          </w:p>
          <w:p>
            <w:pPr>
              <w:pStyle w:val="173"/>
              <w:spacing w:before="0" w:after="0" w:line="264" w:lineRule="auto"/>
              <w:jc w:val="both"/>
              <w:rPr>
                <w:rFonts w:ascii="Times New Roman" w:hAnsi="Times New Roman"/>
                <w:b/>
                <w:bCs/>
                <w:kern w:val="0"/>
                <w:lang w:val="pt-BR" w:eastAsia="en-US" w:bidi="ar-SA"/>
              </w:rPr>
            </w:pPr>
          </w:p>
          <w:p>
            <w:pPr>
              <w:pStyle w:val="173"/>
              <w:spacing w:before="0" w:after="0" w:line="264" w:lineRule="auto"/>
              <w:jc w:val="both"/>
              <w:rPr>
                <w:sz w:val="16"/>
                <w:szCs w:val="16"/>
              </w:rPr>
            </w:pPr>
            <w:r>
              <w:rPr>
                <w:rFonts w:ascii="Times New Roman" w:hAnsi="Times New Roman"/>
                <w:b/>
                <w:bCs/>
                <w:kern w:val="0"/>
                <w:sz w:val="16"/>
                <w:szCs w:val="16"/>
                <w:lang w:val="pt-BR" w:eastAsia="en-US" w:bidi="ar-SA"/>
              </w:rPr>
              <w:t>UN</w:t>
            </w:r>
          </w:p>
        </w:tc>
        <w:tc>
          <w:tcPr>
            <w:tcW w:w="1209" w:type="dxa"/>
            <w:tcBorders>
              <w:top w:val="single" w:color="000000" w:sz="4" w:space="0"/>
              <w:left w:val="single" w:color="000000" w:sz="4" w:space="0"/>
              <w:bottom w:val="single" w:color="000000" w:sz="4" w:space="0"/>
            </w:tcBorders>
            <w:shd w:val="clear" w:color="auto" w:fill="auto"/>
            <w:vAlign w:val="center"/>
          </w:tcPr>
          <w:p>
            <w:pPr>
              <w:pStyle w:val="173"/>
              <w:spacing w:before="0" w:after="0" w:line="264" w:lineRule="auto"/>
              <w:jc w:val="both"/>
              <w:rPr>
                <w:rFonts w:ascii="Times New Roman" w:hAnsi="Times New Roman"/>
                <w:b/>
                <w:bCs/>
                <w:sz w:val="16"/>
                <w:szCs w:val="16"/>
              </w:rPr>
            </w:pPr>
          </w:p>
          <w:p>
            <w:pPr>
              <w:pStyle w:val="173"/>
              <w:spacing w:before="0" w:after="0" w:line="264" w:lineRule="auto"/>
              <w:jc w:val="both"/>
              <w:rPr>
                <w:sz w:val="16"/>
                <w:szCs w:val="16"/>
              </w:rPr>
            </w:pPr>
          </w:p>
          <w:p>
            <w:pPr>
              <w:pStyle w:val="173"/>
              <w:spacing w:before="0" w:after="0" w:line="264" w:lineRule="auto"/>
              <w:jc w:val="both"/>
              <w:rPr>
                <w:sz w:val="16"/>
                <w:szCs w:val="16"/>
              </w:rPr>
            </w:pPr>
          </w:p>
          <w:p>
            <w:pPr>
              <w:pStyle w:val="173"/>
              <w:spacing w:before="0" w:after="0" w:line="264" w:lineRule="auto"/>
              <w:jc w:val="both"/>
              <w:rPr>
                <w:rFonts w:ascii="Times New Roman" w:hAnsi="Times New Roman"/>
                <w:b/>
                <w:bCs/>
              </w:rPr>
            </w:pPr>
          </w:p>
          <w:p>
            <w:pPr>
              <w:pStyle w:val="173"/>
              <w:spacing w:before="0" w:after="0" w:line="264" w:lineRule="auto"/>
              <w:jc w:val="both"/>
              <w:rPr>
                <w:sz w:val="16"/>
                <w:szCs w:val="16"/>
              </w:rPr>
            </w:pPr>
          </w:p>
          <w:p>
            <w:pPr>
              <w:pStyle w:val="173"/>
              <w:spacing w:before="0" w:after="0" w:line="264" w:lineRule="auto"/>
              <w:jc w:val="both"/>
              <w:rPr>
                <w:rFonts w:hint="default"/>
                <w:sz w:val="16"/>
                <w:szCs w:val="16"/>
                <w:lang w:val="pt-BR"/>
              </w:rPr>
            </w:pPr>
            <w:r>
              <w:rPr>
                <w:rFonts w:ascii="Times New Roman" w:hAnsi="Times New Roman"/>
                <w:b/>
                <w:bCs/>
                <w:sz w:val="16"/>
                <w:szCs w:val="16"/>
              </w:rPr>
              <w:t>12</w:t>
            </w:r>
            <w:r>
              <w:rPr>
                <w:rFonts w:hint="default" w:ascii="Times New Roman" w:hAnsi="Times New Roman"/>
                <w:b/>
                <w:bCs/>
                <w:sz w:val="16"/>
                <w:szCs w:val="16"/>
                <w:lang w:val="pt-BR"/>
              </w:rPr>
              <w:t>.</w:t>
            </w:r>
            <w:r>
              <w:rPr>
                <w:rFonts w:ascii="Times New Roman" w:hAnsi="Times New Roman"/>
                <w:b/>
                <w:bCs/>
                <w:sz w:val="16"/>
                <w:szCs w:val="16"/>
              </w:rPr>
              <w:t>173,4</w:t>
            </w:r>
            <w:r>
              <w:rPr>
                <w:rFonts w:hint="default" w:ascii="Times New Roman" w:hAnsi="Times New Roman"/>
                <w:b/>
                <w:bCs/>
                <w:sz w:val="16"/>
                <w:szCs w:val="16"/>
                <w:lang w:val="pt-BR"/>
              </w:rPr>
              <w:t>0</w:t>
            </w:r>
          </w:p>
          <w:p>
            <w:pPr>
              <w:pStyle w:val="173"/>
              <w:spacing w:before="0" w:after="0" w:line="264" w:lineRule="auto"/>
              <w:jc w:val="both"/>
              <w:rPr>
                <w:rFonts w:ascii="Times New Roman" w:hAnsi="Times New Roman"/>
                <w:b/>
                <w:bCs/>
                <w:sz w:val="16"/>
                <w:szCs w:val="16"/>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0" w:after="0" w:line="264" w:lineRule="auto"/>
              <w:jc w:val="both"/>
              <w:rPr>
                <w:sz w:val="16"/>
                <w:szCs w:val="16"/>
              </w:rPr>
            </w:pPr>
          </w:p>
          <w:p>
            <w:pPr>
              <w:pStyle w:val="173"/>
              <w:spacing w:before="0" w:after="0" w:line="264" w:lineRule="auto"/>
              <w:jc w:val="both"/>
              <w:rPr>
                <w:sz w:val="16"/>
                <w:szCs w:val="16"/>
              </w:rPr>
            </w:pPr>
          </w:p>
          <w:p>
            <w:pPr>
              <w:pStyle w:val="173"/>
              <w:spacing w:before="0" w:after="0" w:line="264" w:lineRule="auto"/>
              <w:jc w:val="both"/>
              <w:rPr>
                <w:rFonts w:ascii="Times New Roman" w:hAnsi="Times New Roman"/>
                <w:b/>
                <w:bCs/>
              </w:rPr>
            </w:pPr>
          </w:p>
          <w:p>
            <w:pPr>
              <w:pStyle w:val="173"/>
              <w:spacing w:before="0" w:after="0" w:line="264" w:lineRule="auto"/>
              <w:jc w:val="both"/>
              <w:rPr>
                <w:rFonts w:ascii="Times New Roman" w:hAnsi="Times New Roman"/>
                <w:b/>
                <w:bCs/>
              </w:rPr>
            </w:pPr>
          </w:p>
          <w:p>
            <w:pPr>
              <w:pStyle w:val="173"/>
              <w:spacing w:before="0" w:after="0" w:line="264" w:lineRule="auto"/>
              <w:jc w:val="both"/>
              <w:rPr>
                <w:sz w:val="16"/>
                <w:szCs w:val="16"/>
              </w:rPr>
            </w:pPr>
            <w:r>
              <w:rPr>
                <w:rFonts w:ascii="Times New Roman" w:hAnsi="Times New Roman"/>
                <w:b/>
                <w:bCs/>
                <w:sz w:val="16"/>
                <w:szCs w:val="16"/>
              </w:rPr>
              <w:t>24.346,80</w:t>
            </w:r>
          </w:p>
        </w:tc>
      </w:tr>
      <w:tr>
        <w:tblPrEx>
          <w:tblCellMar>
            <w:top w:w="0" w:type="dxa"/>
            <w:left w:w="7" w:type="dxa"/>
            <w:bottom w:w="0" w:type="dxa"/>
            <w:right w:w="7" w:type="dxa"/>
          </w:tblCellMar>
        </w:tblPrEx>
        <w:trPr>
          <w:trHeight w:val="60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226" w:after="0"/>
              <w:jc w:val="both"/>
              <w:rPr>
                <w:sz w:val="16"/>
                <w:szCs w:val="16"/>
              </w:rPr>
            </w:pPr>
            <w:r>
              <w:rPr>
                <w:rFonts w:ascii="Times New Roman" w:hAnsi="Times New Roman"/>
                <w:b/>
                <w:spacing w:val="-5"/>
                <w:kern w:val="0"/>
                <w:sz w:val="16"/>
                <w:szCs w:val="16"/>
                <w:lang w:val="pt-BR" w:eastAsia="en-US" w:bidi="ar-SA"/>
              </w:rPr>
              <w:t>3</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226" w:after="0"/>
              <w:jc w:val="both"/>
              <w:rPr>
                <w:sz w:val="16"/>
                <w:szCs w:val="16"/>
              </w:rPr>
            </w:pPr>
            <w:r>
              <w:rPr>
                <w:rFonts w:ascii="Times New Roman" w:hAnsi="Times New Roman"/>
                <w:b/>
                <w:spacing w:val="-2"/>
                <w:kern w:val="0"/>
                <w:sz w:val="16"/>
                <w:szCs w:val="16"/>
                <w:u w:val="single"/>
                <w:lang w:val="pt-BR" w:eastAsia="en-US" w:bidi="ar-SA"/>
              </w:rPr>
              <w:t>NOBREAK 1400VA E/S 115V – 8 TOM. UPS SENOIDAL</w:t>
            </w:r>
          </w:p>
          <w:p>
            <w:pPr>
              <w:pStyle w:val="173"/>
              <w:spacing w:before="226" w:after="0"/>
              <w:jc w:val="both"/>
              <w:rPr>
                <w:sz w:val="16"/>
                <w:szCs w:val="16"/>
              </w:rPr>
            </w:pPr>
            <w:r>
              <w:rPr>
                <w:rFonts w:ascii="Times New Roman" w:hAnsi="Times New Roman"/>
                <w:kern w:val="0"/>
                <w:sz w:val="16"/>
                <w:szCs w:val="16"/>
                <w:lang w:eastAsia="en-US" w:bidi="ar-SA"/>
              </w:rPr>
              <w:t>No-break estabilizado de 1.4 Kva, autonomia mínima de 15 minutos - 115V - Tensão de entrada: 115-220 VCA automático em corrente alternada. Tensão de saída de 115 V em corrente alternada, com variação de de ± 5% na ausência da rede elétrica de entrada; Freqüência de 60 Hz (sessenta hertz), com variação máxima de ±0,5% sob variação de ±5% na entrada; Mínimo de 08 tomadas de acordo com a NBR 14136, com fio terra conectado diretamente à entrada e filtro de linha incorporado. Estabilizador microprocessado com 4 estágios de regulação. Deve ter função que corrija a tensão de saída e evite tensões inadequadas aos seus equipamentos (para redes muito altas ou com geradores).</w:t>
            </w:r>
          </w:p>
          <w:p>
            <w:pPr>
              <w:pStyle w:val="173"/>
              <w:spacing w:before="226" w:after="0"/>
              <w:jc w:val="both"/>
              <w:rPr>
                <w:sz w:val="16"/>
                <w:szCs w:val="16"/>
              </w:rPr>
            </w:pPr>
            <w:r>
              <w:rPr>
                <w:rFonts w:ascii="Times New Roman" w:hAnsi="Times New Roman"/>
                <w:b/>
                <w:kern w:val="0"/>
                <w:sz w:val="16"/>
                <w:szCs w:val="16"/>
                <w:lang w:val="pt-BR" w:eastAsia="en-US" w:bidi="ar-SA"/>
              </w:rPr>
              <w:t xml:space="preserve">Garantia mínima: 12 </w:t>
            </w:r>
            <w:r>
              <w:rPr>
                <w:rFonts w:ascii="Times New Roman" w:hAnsi="Times New Roman"/>
                <w:b/>
                <w:spacing w:val="-2"/>
                <w:kern w:val="0"/>
                <w:sz w:val="16"/>
                <w:szCs w:val="16"/>
                <w:lang w:val="pt-BR" w:eastAsia="en-US" w:bidi="ar-SA"/>
              </w:rPr>
              <w:t>meses.</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0" w:after="0"/>
              <w:jc w:val="both"/>
              <w:rPr>
                <w:rFonts w:ascii="Times New Roman" w:hAnsi="Times New Roman"/>
                <w:b/>
                <w:bCs/>
                <w:spacing w:val="-4"/>
                <w:kern w:val="0"/>
                <w:lang w:val="pt-BR" w:eastAsia="en-US" w:bidi="ar-SA"/>
              </w:rPr>
            </w:pPr>
          </w:p>
          <w:p>
            <w:pPr>
              <w:pStyle w:val="173"/>
              <w:spacing w:before="0" w:after="0"/>
              <w:jc w:val="both"/>
              <w:rPr>
                <w:sz w:val="16"/>
                <w:szCs w:val="16"/>
              </w:rPr>
            </w:pPr>
            <w:r>
              <w:rPr>
                <w:rFonts w:ascii="Times New Roman" w:hAnsi="Times New Roman"/>
                <w:b/>
                <w:bCs/>
                <w:spacing w:val="-4"/>
                <w:kern w:val="0"/>
                <w:sz w:val="16"/>
                <w:szCs w:val="16"/>
                <w:lang w:val="pt-BR" w:eastAsia="en-US" w:bidi="ar-SA"/>
              </w:rPr>
              <w:t>284976-3</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0" w:after="0"/>
              <w:jc w:val="both"/>
              <w:rPr>
                <w:rFonts w:ascii="Times New Roman" w:hAnsi="Times New Roman"/>
                <w:b/>
                <w:bCs/>
                <w:spacing w:val="-4"/>
                <w:kern w:val="0"/>
                <w:lang w:val="pt-BR" w:eastAsia="en-US" w:bidi="ar-SA"/>
              </w:rPr>
            </w:pPr>
          </w:p>
          <w:p>
            <w:pPr>
              <w:pStyle w:val="173"/>
              <w:spacing w:before="0" w:after="0"/>
              <w:jc w:val="both"/>
              <w:rPr>
                <w:sz w:val="16"/>
                <w:szCs w:val="16"/>
              </w:rPr>
            </w:pPr>
            <w:r>
              <w:rPr>
                <w:rFonts w:ascii="Times New Roman" w:hAnsi="Times New Roman"/>
                <w:b/>
                <w:bCs/>
                <w:spacing w:val="-4"/>
                <w:kern w:val="0"/>
                <w:sz w:val="16"/>
                <w:szCs w:val="16"/>
                <w:lang w:val="pt-BR" w:eastAsia="en-US" w:bidi="ar-SA"/>
              </w:rPr>
              <w:t>02</w:t>
            </w:r>
          </w:p>
        </w:tc>
        <w:tc>
          <w:tcPr>
            <w:tcW w:w="827" w:type="dxa"/>
            <w:tcBorders>
              <w:top w:val="single" w:color="000000" w:sz="4" w:space="0"/>
              <w:left w:val="single" w:color="000000" w:sz="4" w:space="0"/>
              <w:bottom w:val="single" w:color="000000" w:sz="4" w:space="0"/>
            </w:tcBorders>
            <w:shd w:val="clear" w:color="auto" w:fill="auto"/>
            <w:vAlign w:val="center"/>
          </w:tcPr>
          <w:p>
            <w:pPr>
              <w:pStyle w:val="173"/>
              <w:spacing w:before="0" w:after="0" w:line="264" w:lineRule="auto"/>
              <w:jc w:val="both"/>
              <w:rPr>
                <w:rFonts w:ascii="Times New Roman" w:hAnsi="Times New Roman"/>
                <w:b/>
                <w:bCs/>
                <w:kern w:val="0"/>
                <w:lang w:val="pt-BR" w:eastAsia="en-US" w:bidi="ar-SA"/>
              </w:rPr>
            </w:pPr>
          </w:p>
          <w:p>
            <w:pPr>
              <w:pStyle w:val="173"/>
              <w:spacing w:before="0" w:after="0" w:line="264" w:lineRule="auto"/>
              <w:jc w:val="both"/>
              <w:rPr>
                <w:sz w:val="16"/>
                <w:szCs w:val="16"/>
              </w:rPr>
            </w:pPr>
            <w:r>
              <w:rPr>
                <w:rFonts w:ascii="Times New Roman" w:hAnsi="Times New Roman"/>
                <w:b/>
                <w:bCs/>
                <w:kern w:val="0"/>
                <w:sz w:val="16"/>
                <w:szCs w:val="16"/>
                <w:lang w:val="pt-BR" w:eastAsia="en-US" w:bidi="ar-SA"/>
              </w:rPr>
              <w:t>UN</w:t>
            </w:r>
          </w:p>
        </w:tc>
        <w:tc>
          <w:tcPr>
            <w:tcW w:w="1209" w:type="dxa"/>
            <w:tcBorders>
              <w:top w:val="single" w:color="000000" w:sz="4" w:space="0"/>
              <w:left w:val="single" w:color="000000" w:sz="4" w:space="0"/>
              <w:bottom w:val="single" w:color="000000" w:sz="4" w:space="0"/>
            </w:tcBorders>
            <w:shd w:val="clear" w:color="auto" w:fill="auto"/>
            <w:vAlign w:val="center"/>
          </w:tcPr>
          <w:p>
            <w:pPr>
              <w:pStyle w:val="173"/>
              <w:spacing w:before="0" w:after="0" w:line="264" w:lineRule="auto"/>
              <w:jc w:val="both"/>
              <w:rPr>
                <w:rFonts w:ascii="Times New Roman" w:hAnsi="Times New Roman"/>
                <w:b/>
                <w:bCs/>
              </w:rPr>
            </w:pPr>
          </w:p>
          <w:p>
            <w:pPr>
              <w:pStyle w:val="173"/>
              <w:spacing w:before="0" w:after="0" w:line="264" w:lineRule="auto"/>
              <w:jc w:val="both"/>
              <w:rPr>
                <w:sz w:val="16"/>
                <w:szCs w:val="16"/>
              </w:rPr>
            </w:pPr>
            <w:r>
              <w:rPr>
                <w:rFonts w:ascii="Times New Roman" w:hAnsi="Times New Roman"/>
                <w:b/>
                <w:bCs/>
                <w:sz w:val="16"/>
                <w:szCs w:val="16"/>
              </w:rPr>
              <w:t>1622,33</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0" w:after="0" w:line="264" w:lineRule="auto"/>
              <w:jc w:val="both"/>
              <w:rPr>
                <w:rFonts w:ascii="Times New Roman" w:hAnsi="Times New Roman"/>
                <w:b/>
                <w:bCs/>
              </w:rPr>
            </w:pPr>
          </w:p>
          <w:p>
            <w:pPr>
              <w:pStyle w:val="173"/>
              <w:spacing w:before="0" w:after="0" w:line="264" w:lineRule="auto"/>
              <w:jc w:val="both"/>
              <w:rPr>
                <w:rFonts w:hint="default"/>
                <w:sz w:val="16"/>
                <w:szCs w:val="16"/>
                <w:lang w:val="pt-BR"/>
              </w:rPr>
            </w:pPr>
            <w:r>
              <w:rPr>
                <w:rFonts w:ascii="Times New Roman" w:hAnsi="Times New Roman"/>
                <w:b/>
                <w:bCs/>
                <w:sz w:val="16"/>
                <w:szCs w:val="16"/>
              </w:rPr>
              <w:t>3.244,6</w:t>
            </w:r>
            <w:r>
              <w:rPr>
                <w:rFonts w:hint="default" w:ascii="Times New Roman" w:hAnsi="Times New Roman"/>
                <w:b/>
                <w:bCs/>
                <w:sz w:val="16"/>
                <w:szCs w:val="16"/>
                <w:lang w:val="pt-BR"/>
              </w:rPr>
              <w:t>7</w:t>
            </w:r>
          </w:p>
        </w:tc>
      </w:tr>
      <w:tr>
        <w:tblPrEx>
          <w:tblCellMar>
            <w:top w:w="0" w:type="dxa"/>
            <w:left w:w="7" w:type="dxa"/>
            <w:bottom w:w="0" w:type="dxa"/>
            <w:right w:w="7" w:type="dxa"/>
          </w:tblCellMar>
        </w:tblPrEx>
        <w:trPr>
          <w:trHeight w:val="602" w:hRule="atLeast"/>
        </w:trPr>
        <w:tc>
          <w:tcPr>
            <w:tcW w:w="566" w:type="dxa"/>
            <w:tcBorders>
              <w:left w:val="single" w:color="000000" w:sz="4" w:space="0"/>
              <w:bottom w:val="single" w:color="000000" w:sz="4" w:space="0"/>
              <w:right w:val="single" w:color="000000" w:sz="4" w:space="0"/>
            </w:tcBorders>
            <w:shd w:val="clear" w:color="auto" w:fill="auto"/>
            <w:vAlign w:val="center"/>
          </w:tcPr>
          <w:p>
            <w:pPr>
              <w:pStyle w:val="173"/>
              <w:spacing w:before="226" w:after="0"/>
              <w:jc w:val="both"/>
              <w:rPr>
                <w:sz w:val="16"/>
                <w:szCs w:val="16"/>
              </w:rPr>
            </w:pPr>
            <w:r>
              <w:rPr>
                <w:rFonts w:ascii="Times New Roman" w:hAnsi="Times New Roman"/>
                <w:sz w:val="16"/>
                <w:szCs w:val="16"/>
              </w:rPr>
              <w:t>4</w:t>
            </w:r>
          </w:p>
        </w:tc>
        <w:tc>
          <w:tcPr>
            <w:tcW w:w="3055" w:type="dxa"/>
            <w:tcBorders>
              <w:left w:val="single" w:color="000000" w:sz="4" w:space="0"/>
              <w:bottom w:val="single" w:color="000000" w:sz="4" w:space="0"/>
              <w:right w:val="single" w:color="000000" w:sz="4" w:space="0"/>
            </w:tcBorders>
            <w:shd w:val="clear" w:color="auto" w:fill="auto"/>
            <w:vAlign w:val="center"/>
          </w:tcPr>
          <w:p>
            <w:pPr>
              <w:spacing w:before="0" w:after="0"/>
              <w:jc w:val="both"/>
              <w:rPr>
                <w:sz w:val="16"/>
                <w:szCs w:val="16"/>
              </w:rPr>
            </w:pPr>
            <w:r>
              <w:rPr>
                <w:rFonts w:ascii="Times New Roman" w:hAnsi="Times New Roman"/>
                <w:b/>
                <w:bCs/>
                <w:kern w:val="0"/>
                <w:sz w:val="16"/>
                <w:szCs w:val="16"/>
                <w:u w:val="single"/>
                <w:lang w:val="pt-BR" w:eastAsia="en-US" w:bidi="ar-SA"/>
              </w:rPr>
              <w:t>Câmera Speed Dome:</w:t>
            </w:r>
          </w:p>
          <w:p>
            <w:pPr>
              <w:pStyle w:val="173"/>
              <w:spacing w:before="0" w:after="0"/>
              <w:jc w:val="both"/>
              <w:rPr>
                <w:rFonts w:ascii="Times New Roman" w:hAnsi="Times New Roman"/>
                <w:b/>
                <w:bCs/>
                <w:kern w:val="0"/>
                <w:sz w:val="16"/>
                <w:szCs w:val="16"/>
                <w:u w:val="single"/>
                <w:lang w:val="pt-BR" w:eastAsia="en-US" w:bidi="ar-SA"/>
              </w:rPr>
            </w:pPr>
          </w:p>
          <w:p>
            <w:pPr>
              <w:pStyle w:val="173"/>
              <w:spacing w:before="0" w:after="0"/>
              <w:jc w:val="both"/>
              <w:rPr>
                <w:sz w:val="16"/>
                <w:szCs w:val="16"/>
              </w:rPr>
            </w:pPr>
            <w:r>
              <w:rPr>
                <w:rFonts w:ascii="Times New Roman" w:hAnsi="Times New Roman"/>
                <w:kern w:val="0"/>
                <w:sz w:val="16"/>
                <w:szCs w:val="16"/>
                <w:lang w:val="pt-BR" w:eastAsia="en-US" w:bidi="ar-SA"/>
              </w:rPr>
              <w:t>lente focal: 4.8~153mm</w:t>
            </w:r>
          </w:p>
          <w:p>
            <w:pPr>
              <w:pStyle w:val="173"/>
              <w:spacing w:before="0" w:after="0"/>
              <w:jc w:val="both"/>
              <w:rPr>
                <w:sz w:val="16"/>
                <w:szCs w:val="16"/>
              </w:rPr>
            </w:pPr>
            <w:r>
              <w:rPr>
                <w:rFonts w:ascii="Times New Roman" w:hAnsi="Times New Roman"/>
                <w:kern w:val="0"/>
                <w:sz w:val="16"/>
                <w:szCs w:val="16"/>
                <w:lang w:val="pt-BR" w:eastAsia="en-US" w:bidi="ar-SA"/>
              </w:rPr>
              <w:t>low light darkfighter 0.005 lux (f1.6)</w:t>
            </w:r>
          </w:p>
          <w:p>
            <w:pPr>
              <w:pStyle w:val="173"/>
              <w:spacing w:before="0" w:after="0"/>
              <w:jc w:val="both"/>
              <w:rPr>
                <w:sz w:val="16"/>
                <w:szCs w:val="16"/>
              </w:rPr>
            </w:pPr>
            <w:r>
              <w:rPr>
                <w:rFonts w:ascii="Times New Roman" w:hAnsi="Times New Roman"/>
                <w:kern w:val="0"/>
                <w:sz w:val="16"/>
                <w:szCs w:val="16"/>
                <w:lang w:val="pt-BR" w:eastAsia="en-US" w:bidi="ar-SA"/>
              </w:rPr>
              <w:t>resolução 2mp (1920 x 1080)</w:t>
            </w:r>
          </w:p>
          <w:p>
            <w:pPr>
              <w:pStyle w:val="173"/>
              <w:spacing w:before="0" w:after="0"/>
              <w:jc w:val="both"/>
              <w:rPr>
                <w:sz w:val="16"/>
                <w:szCs w:val="16"/>
              </w:rPr>
            </w:pPr>
            <w:r>
              <w:rPr>
                <w:rFonts w:ascii="Times New Roman" w:hAnsi="Times New Roman"/>
                <w:kern w:val="0"/>
                <w:sz w:val="16"/>
                <w:szCs w:val="16"/>
                <w:lang w:val="pt-BR" w:eastAsia="en-US" w:bidi="ar-SA"/>
              </w:rPr>
              <w:t>compressão: h.265+/h.265/h.264+/h.264</w:t>
            </w:r>
          </w:p>
          <w:p>
            <w:pPr>
              <w:pStyle w:val="173"/>
              <w:spacing w:before="0" w:after="0"/>
              <w:jc w:val="both"/>
              <w:rPr>
                <w:sz w:val="16"/>
                <w:szCs w:val="16"/>
              </w:rPr>
            </w:pPr>
            <w:r>
              <w:rPr>
                <w:rFonts w:ascii="Times New Roman" w:hAnsi="Times New Roman"/>
                <w:kern w:val="0"/>
                <w:sz w:val="16"/>
                <w:szCs w:val="16"/>
                <w:lang w:val="pt-BR" w:eastAsia="en-US" w:bidi="ar-SA"/>
              </w:rPr>
              <w:t>analíticos: detecção de movimento, detecção de violação de vídeo, exceção, detecção de intrusão, detecção de cruzamento de linha, detecção de entrada de região, saída de região, detecção, detecção de remoção de objetos, detecção bagagem abandonada</w:t>
            </w:r>
          </w:p>
          <w:p>
            <w:pPr>
              <w:pStyle w:val="173"/>
              <w:spacing w:before="0" w:after="0"/>
              <w:jc w:val="both"/>
              <w:rPr>
                <w:sz w:val="16"/>
                <w:szCs w:val="16"/>
              </w:rPr>
            </w:pPr>
            <w:r>
              <w:rPr>
                <w:rFonts w:ascii="Times New Roman" w:hAnsi="Times New Roman"/>
                <w:kern w:val="0"/>
                <w:sz w:val="16"/>
                <w:szCs w:val="16"/>
                <w:lang w:val="pt-BR" w:eastAsia="en-US" w:bidi="ar-SA"/>
              </w:rPr>
              <w:t>faixa de ir: 150 metros</w:t>
            </w:r>
          </w:p>
          <w:p>
            <w:pPr>
              <w:pStyle w:val="173"/>
              <w:spacing w:before="0" w:after="0"/>
              <w:jc w:val="both"/>
              <w:rPr>
                <w:sz w:val="16"/>
                <w:szCs w:val="16"/>
              </w:rPr>
            </w:pPr>
            <w:r>
              <w:rPr>
                <w:rFonts w:ascii="Times New Roman" w:hAnsi="Times New Roman"/>
                <w:kern w:val="0"/>
                <w:sz w:val="16"/>
                <w:szCs w:val="16"/>
                <w:lang w:val="pt-BR" w:eastAsia="en-US" w:bidi="ar-SA"/>
              </w:rPr>
              <w:t>ajuste de ângulo: pan ? 0.1~120º / tilt - 0.1~80º / zoom ? 32x</w:t>
            </w:r>
          </w:p>
          <w:p>
            <w:pPr>
              <w:pStyle w:val="173"/>
              <w:spacing w:before="0" w:after="0"/>
              <w:jc w:val="both"/>
              <w:rPr>
                <w:sz w:val="16"/>
                <w:szCs w:val="16"/>
              </w:rPr>
            </w:pPr>
            <w:r>
              <w:rPr>
                <w:rFonts w:ascii="Times New Roman" w:hAnsi="Times New Roman"/>
                <w:kern w:val="0"/>
                <w:sz w:val="16"/>
                <w:szCs w:val="16"/>
                <w:lang w:val="pt-BR" w:eastAsia="en-US" w:bidi="ar-SA"/>
              </w:rPr>
              <w:t>velocidade de presets: pan ? 120º / tilt ? 80º</w:t>
            </w:r>
          </w:p>
          <w:p>
            <w:pPr>
              <w:pStyle w:val="173"/>
              <w:spacing w:before="0" w:after="0"/>
              <w:jc w:val="both"/>
              <w:rPr>
                <w:rFonts w:ascii="Times New Roman" w:hAnsi="Times New Roman"/>
                <w:kern w:val="0"/>
                <w:sz w:val="16"/>
                <w:szCs w:val="16"/>
                <w:lang w:val="pt-BR" w:eastAsia="en-US" w:bidi="ar-SA"/>
              </w:rPr>
            </w:pPr>
          </w:p>
          <w:p>
            <w:pPr>
              <w:pStyle w:val="173"/>
              <w:spacing w:before="0" w:after="0"/>
              <w:jc w:val="both"/>
              <w:rPr>
                <w:sz w:val="16"/>
                <w:szCs w:val="16"/>
              </w:rPr>
            </w:pPr>
            <w:r>
              <w:rPr>
                <w:rFonts w:ascii="Times New Roman" w:hAnsi="Times New Roman"/>
                <w:kern w:val="0"/>
                <w:sz w:val="16"/>
                <w:szCs w:val="16"/>
                <w:lang w:val="pt-BR" w:eastAsia="en-US" w:bidi="ar-SA"/>
              </w:rPr>
              <w:t xml:space="preserve">Marca de referência: </w:t>
            </w:r>
            <w:r>
              <w:rPr>
                <w:rFonts w:ascii="Times New Roman" w:hAnsi="Times New Roman"/>
                <w:kern w:val="0"/>
                <w:sz w:val="16"/>
                <w:szCs w:val="16"/>
                <w:lang w:eastAsia="en-US" w:bidi="ar-SA"/>
              </w:rPr>
              <w:t>Hikvision;</w:t>
            </w:r>
          </w:p>
          <w:p>
            <w:pPr>
              <w:pStyle w:val="173"/>
              <w:spacing w:before="226" w:after="0"/>
              <w:jc w:val="both"/>
              <w:rPr>
                <w:sz w:val="16"/>
                <w:szCs w:val="16"/>
              </w:rPr>
            </w:pPr>
            <w:r>
              <w:rPr>
                <w:rFonts w:ascii="Times New Roman" w:hAnsi="Times New Roman"/>
                <w:b/>
                <w:kern w:val="0"/>
                <w:sz w:val="16"/>
                <w:szCs w:val="16"/>
                <w:lang w:val="pt-BR" w:eastAsia="en-US" w:bidi="ar-SA"/>
              </w:rPr>
              <w:t xml:space="preserve">Garantia mínima: 12 </w:t>
            </w:r>
            <w:r>
              <w:rPr>
                <w:rFonts w:ascii="Times New Roman" w:hAnsi="Times New Roman"/>
                <w:b/>
                <w:spacing w:val="-2"/>
                <w:kern w:val="0"/>
                <w:sz w:val="16"/>
                <w:szCs w:val="16"/>
                <w:lang w:val="pt-BR" w:eastAsia="en-US" w:bidi="ar-SA"/>
              </w:rPr>
              <w:t>meses.</w:t>
            </w:r>
          </w:p>
          <w:p>
            <w:pPr>
              <w:pStyle w:val="173"/>
              <w:spacing w:before="0" w:after="0"/>
              <w:jc w:val="both"/>
              <w:rPr>
                <w:rFonts w:ascii="Times New Roman" w:hAnsi="Times New Roman"/>
                <w:b/>
                <w:bCs/>
                <w:kern w:val="0"/>
                <w:sz w:val="16"/>
                <w:szCs w:val="16"/>
                <w:u w:val="single"/>
                <w:lang w:val="pt-BR" w:eastAsia="en-US" w:bidi="ar-SA"/>
              </w:rPr>
            </w:pPr>
          </w:p>
        </w:tc>
        <w:tc>
          <w:tcPr>
            <w:tcW w:w="1072" w:type="dxa"/>
            <w:tcBorders>
              <w:left w:val="single" w:color="000000" w:sz="4" w:space="0"/>
              <w:bottom w:val="single" w:color="000000" w:sz="4" w:space="0"/>
              <w:right w:val="single" w:color="000000" w:sz="4" w:space="0"/>
            </w:tcBorders>
            <w:shd w:val="clear" w:color="auto" w:fill="auto"/>
            <w:vAlign w:val="center"/>
          </w:tcPr>
          <w:p>
            <w:pPr>
              <w:pStyle w:val="173"/>
              <w:spacing w:before="0" w:after="0"/>
              <w:jc w:val="both"/>
              <w:rPr>
                <w:sz w:val="16"/>
                <w:szCs w:val="16"/>
              </w:rPr>
            </w:pPr>
            <w:r>
              <w:rPr>
                <w:rFonts w:ascii="Times New Roman" w:hAnsi="Times New Roman"/>
                <w:b/>
                <w:bCs/>
                <w:spacing w:val="-4"/>
                <w:kern w:val="0"/>
                <w:sz w:val="16"/>
                <w:szCs w:val="16"/>
                <w:lang w:val="pt-BR" w:eastAsia="en-US" w:bidi="ar-SA"/>
              </w:rPr>
              <w:t>00036486</w:t>
            </w:r>
          </w:p>
        </w:tc>
        <w:tc>
          <w:tcPr>
            <w:tcW w:w="524" w:type="dxa"/>
            <w:tcBorders>
              <w:left w:val="single" w:color="000000" w:sz="4" w:space="0"/>
              <w:bottom w:val="single" w:color="000000" w:sz="4" w:space="0"/>
              <w:right w:val="single" w:color="000000" w:sz="4" w:space="0"/>
            </w:tcBorders>
            <w:shd w:val="clear" w:color="auto" w:fill="auto"/>
            <w:vAlign w:val="center"/>
          </w:tcPr>
          <w:p>
            <w:pPr>
              <w:pStyle w:val="173"/>
              <w:spacing w:before="0" w:after="0"/>
              <w:jc w:val="both"/>
              <w:rPr>
                <w:sz w:val="16"/>
                <w:szCs w:val="16"/>
              </w:rPr>
            </w:pPr>
            <w:r>
              <w:rPr>
                <w:rFonts w:ascii="Times New Roman" w:hAnsi="Times New Roman"/>
                <w:b/>
                <w:bCs/>
                <w:sz w:val="16"/>
                <w:szCs w:val="16"/>
              </w:rPr>
              <w:t>01</w:t>
            </w:r>
          </w:p>
        </w:tc>
        <w:tc>
          <w:tcPr>
            <w:tcW w:w="827" w:type="dxa"/>
            <w:tcBorders>
              <w:left w:val="single" w:color="000000" w:sz="4" w:space="0"/>
              <w:bottom w:val="single" w:color="000000" w:sz="4" w:space="0"/>
            </w:tcBorders>
            <w:shd w:val="clear" w:color="auto" w:fill="auto"/>
            <w:vAlign w:val="center"/>
          </w:tcPr>
          <w:p>
            <w:pPr>
              <w:pStyle w:val="173"/>
              <w:spacing w:before="0" w:after="0" w:line="264" w:lineRule="auto"/>
              <w:jc w:val="both"/>
              <w:rPr>
                <w:sz w:val="16"/>
                <w:szCs w:val="16"/>
              </w:rPr>
            </w:pPr>
            <w:r>
              <w:rPr>
                <w:rFonts w:ascii="Times New Roman" w:hAnsi="Times New Roman"/>
                <w:b/>
                <w:bCs/>
                <w:sz w:val="16"/>
                <w:szCs w:val="16"/>
              </w:rPr>
              <w:t>UN</w:t>
            </w:r>
          </w:p>
        </w:tc>
        <w:tc>
          <w:tcPr>
            <w:tcW w:w="1209" w:type="dxa"/>
            <w:tcBorders>
              <w:left w:val="single" w:color="000000" w:sz="4" w:space="0"/>
              <w:bottom w:val="single" w:color="000000" w:sz="4" w:space="0"/>
            </w:tcBorders>
            <w:shd w:val="clear" w:color="auto" w:fill="auto"/>
            <w:vAlign w:val="center"/>
          </w:tcPr>
          <w:p>
            <w:pPr>
              <w:pStyle w:val="173"/>
              <w:spacing w:before="0" w:after="0" w:line="264" w:lineRule="auto"/>
              <w:jc w:val="both"/>
              <w:rPr>
                <w:sz w:val="16"/>
                <w:szCs w:val="16"/>
              </w:rPr>
            </w:pPr>
            <w:r>
              <w:rPr>
                <w:rFonts w:ascii="Times New Roman" w:hAnsi="Times New Roman"/>
                <w:b/>
                <w:bCs/>
                <w:sz w:val="16"/>
                <w:szCs w:val="16"/>
              </w:rPr>
              <w:t>9.090,69</w:t>
            </w:r>
          </w:p>
        </w:tc>
        <w:tc>
          <w:tcPr>
            <w:tcW w:w="1307" w:type="dxa"/>
            <w:tcBorders>
              <w:left w:val="single" w:color="000000" w:sz="4" w:space="0"/>
              <w:bottom w:val="single" w:color="000000" w:sz="4" w:space="0"/>
              <w:right w:val="single" w:color="000000" w:sz="4" w:space="0"/>
            </w:tcBorders>
            <w:shd w:val="clear" w:color="auto" w:fill="auto"/>
            <w:vAlign w:val="center"/>
          </w:tcPr>
          <w:p>
            <w:pPr>
              <w:pStyle w:val="173"/>
              <w:spacing w:before="0" w:after="0" w:line="264" w:lineRule="auto"/>
              <w:jc w:val="both"/>
              <w:rPr>
                <w:sz w:val="16"/>
                <w:szCs w:val="16"/>
              </w:rPr>
            </w:pPr>
            <w:r>
              <w:rPr>
                <w:rFonts w:ascii="Times New Roman" w:hAnsi="Times New Roman"/>
                <w:b/>
                <w:bCs/>
                <w:sz w:val="16"/>
                <w:szCs w:val="16"/>
              </w:rPr>
              <w:t>9.090,69</w:t>
            </w:r>
          </w:p>
        </w:tc>
      </w:tr>
      <w:tr>
        <w:tblPrEx>
          <w:tblCellMar>
            <w:top w:w="0" w:type="dxa"/>
            <w:left w:w="7" w:type="dxa"/>
            <w:bottom w:w="0" w:type="dxa"/>
            <w:right w:w="7" w:type="dxa"/>
          </w:tblCellMar>
        </w:tblPrEx>
        <w:trPr>
          <w:trHeight w:val="60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226" w:after="0"/>
              <w:jc w:val="both"/>
              <w:rPr>
                <w:sz w:val="16"/>
                <w:szCs w:val="16"/>
              </w:rPr>
            </w:pPr>
            <w:r>
              <w:rPr>
                <w:rFonts w:ascii="Times New Roman" w:hAnsi="Times New Roman"/>
                <w:b/>
                <w:spacing w:val="-5"/>
                <w:kern w:val="0"/>
                <w:sz w:val="16"/>
                <w:szCs w:val="16"/>
                <w:lang w:val="pt-BR" w:eastAsia="en-US" w:bidi="ar-SA"/>
              </w:rPr>
              <w:t>5</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226" w:after="0"/>
              <w:jc w:val="both"/>
              <w:rPr>
                <w:sz w:val="16"/>
                <w:szCs w:val="16"/>
              </w:rPr>
            </w:pPr>
            <w:r>
              <w:rPr>
                <w:rFonts w:ascii="Times New Roman" w:hAnsi="Times New Roman"/>
                <w:b/>
                <w:kern w:val="0"/>
                <w:sz w:val="16"/>
                <w:szCs w:val="16"/>
                <w:u w:val="single"/>
                <w:lang w:val="pt-BR" w:eastAsia="en-US" w:bidi="ar-SA"/>
              </w:rPr>
              <w:t xml:space="preserve">CÂMERAS </w:t>
            </w:r>
            <w:r>
              <w:rPr>
                <w:rFonts w:ascii="Times New Roman" w:hAnsi="Times New Roman"/>
                <w:b/>
                <w:spacing w:val="-2"/>
                <w:kern w:val="0"/>
                <w:sz w:val="16"/>
                <w:szCs w:val="16"/>
                <w:u w:val="single"/>
                <w:lang w:val="pt-BR" w:eastAsia="en-US" w:bidi="ar-SA"/>
              </w:rPr>
              <w:t>EXTERNAS E INTERNAS:</w:t>
            </w:r>
          </w:p>
          <w:p>
            <w:pPr>
              <w:pStyle w:val="173"/>
              <w:spacing w:before="226" w:after="0"/>
              <w:jc w:val="both"/>
              <w:rPr>
                <w:sz w:val="16"/>
                <w:szCs w:val="16"/>
              </w:rPr>
            </w:pPr>
            <w:r>
              <w:rPr>
                <w:rFonts w:ascii="Times New Roman" w:hAnsi="Times New Roman"/>
                <w:kern w:val="0"/>
                <w:sz w:val="16"/>
                <w:szCs w:val="16"/>
                <w:lang w:val="pt-BR" w:eastAsia="en-US" w:bidi="ar-SA"/>
              </w:rPr>
              <w:t>Câmeras externas FULL HD, ir 20mts, resolução 2 megapixels (1080p), alimentação PoE ativo (IEE 802.3 af), índice de proteção ip67, compressão de vídeo h.265;</w:t>
            </w:r>
          </w:p>
          <w:p>
            <w:pPr>
              <w:pStyle w:val="173"/>
              <w:spacing w:before="226" w:after="0"/>
              <w:jc w:val="both"/>
              <w:rPr>
                <w:sz w:val="16"/>
                <w:szCs w:val="16"/>
              </w:rPr>
            </w:pPr>
            <w:r>
              <w:rPr>
                <w:rFonts w:ascii="Times New Roman" w:hAnsi="Times New Roman"/>
                <w:kern w:val="0"/>
                <w:sz w:val="16"/>
                <w:szCs w:val="16"/>
                <w:lang w:val="pt-BR" w:eastAsia="en-US" w:bidi="ar-SA"/>
              </w:rPr>
              <w:t>Os itens deverão contemplar as seguintes especificações:</w:t>
            </w:r>
          </w:p>
          <w:p>
            <w:pPr>
              <w:pStyle w:val="173"/>
              <w:spacing w:before="0" w:after="0" w:line="264" w:lineRule="auto"/>
              <w:jc w:val="both"/>
              <w:rPr>
                <w:sz w:val="16"/>
                <w:szCs w:val="16"/>
              </w:rPr>
            </w:pPr>
            <w:r>
              <w:rPr>
                <w:rFonts w:ascii="Times New Roman" w:hAnsi="Times New Roman"/>
                <w:kern w:val="0"/>
                <w:sz w:val="16"/>
                <w:szCs w:val="16"/>
                <w:lang w:eastAsia="en-US" w:bidi="ar-SA"/>
              </w:rPr>
              <w:t>Camera ip bullet full hd 2.8mm, 27 unidades;</w:t>
            </w:r>
          </w:p>
          <w:p>
            <w:pPr>
              <w:pStyle w:val="173"/>
              <w:spacing w:before="0" w:after="0" w:line="264" w:lineRule="auto"/>
              <w:jc w:val="both"/>
              <w:rPr>
                <w:sz w:val="16"/>
                <w:szCs w:val="16"/>
              </w:rPr>
            </w:pPr>
            <w:r>
              <w:rPr>
                <w:rFonts w:ascii="Times New Roman" w:hAnsi="Times New Roman"/>
                <w:kern w:val="0"/>
                <w:sz w:val="16"/>
                <w:szCs w:val="16"/>
                <w:lang w:eastAsia="en-US" w:bidi="ar-SA"/>
              </w:rPr>
              <w:t>Câmera ip dome full hd 2.mp ir 30m lente 2,8mm, 30 unidades;</w:t>
            </w:r>
          </w:p>
          <w:p>
            <w:pPr>
              <w:pStyle w:val="173"/>
              <w:spacing w:before="0" w:after="0" w:line="264" w:lineRule="auto"/>
              <w:jc w:val="both"/>
              <w:rPr>
                <w:rFonts w:ascii="Times New Roman" w:hAnsi="Times New Roman"/>
                <w:kern w:val="0"/>
                <w:sz w:val="16"/>
                <w:szCs w:val="16"/>
                <w:lang w:eastAsia="en-US" w:bidi="ar-SA"/>
              </w:rPr>
            </w:pPr>
          </w:p>
          <w:p>
            <w:pPr>
              <w:pStyle w:val="173"/>
              <w:spacing w:before="0" w:after="0" w:line="264" w:lineRule="auto"/>
              <w:jc w:val="both"/>
              <w:rPr>
                <w:sz w:val="16"/>
                <w:szCs w:val="16"/>
              </w:rPr>
            </w:pPr>
            <w:r>
              <w:rPr>
                <w:rFonts w:ascii="Times New Roman" w:hAnsi="Times New Roman"/>
                <w:kern w:val="0"/>
                <w:sz w:val="16"/>
                <w:szCs w:val="16"/>
                <w:lang w:eastAsia="en-US" w:bidi="ar-SA"/>
              </w:rPr>
              <w:t>Marca de referência: Hikvision;</w:t>
            </w:r>
          </w:p>
          <w:p>
            <w:pPr>
              <w:pStyle w:val="173"/>
              <w:spacing w:before="226" w:after="0"/>
              <w:jc w:val="both"/>
              <w:rPr>
                <w:rFonts w:ascii="Times New Roman" w:hAnsi="Times New Roman"/>
                <w:kern w:val="0"/>
                <w:sz w:val="16"/>
                <w:szCs w:val="16"/>
                <w:lang w:val="pt-BR" w:eastAsia="en-US" w:bidi="ar-SA"/>
              </w:rPr>
            </w:pPr>
          </w:p>
          <w:p>
            <w:pPr>
              <w:pStyle w:val="173"/>
              <w:spacing w:before="226" w:after="0"/>
              <w:jc w:val="both"/>
              <w:rPr>
                <w:sz w:val="16"/>
                <w:szCs w:val="16"/>
              </w:rPr>
            </w:pPr>
            <w:r>
              <w:rPr>
                <w:rFonts w:ascii="Times New Roman" w:hAnsi="Times New Roman"/>
                <w:b/>
                <w:kern w:val="0"/>
                <w:sz w:val="16"/>
                <w:szCs w:val="16"/>
                <w:lang w:val="pt-BR" w:eastAsia="en-US" w:bidi="ar-SA"/>
              </w:rPr>
              <w:t xml:space="preserve">Garantia mínima: 12 </w:t>
            </w:r>
            <w:r>
              <w:rPr>
                <w:rFonts w:ascii="Times New Roman" w:hAnsi="Times New Roman"/>
                <w:b/>
                <w:spacing w:val="-2"/>
                <w:kern w:val="0"/>
                <w:sz w:val="16"/>
                <w:szCs w:val="16"/>
                <w:lang w:val="pt-BR" w:eastAsia="en-US" w:bidi="ar-SA"/>
              </w:rPr>
              <w:t>meses.</w:t>
            </w:r>
          </w:p>
          <w:p>
            <w:pPr>
              <w:pStyle w:val="173"/>
              <w:spacing w:before="0" w:after="0"/>
              <w:jc w:val="both"/>
              <w:rPr>
                <w:rFonts w:ascii="Times New Roman" w:hAnsi="Times New Roman"/>
                <w:kern w:val="0"/>
                <w:sz w:val="16"/>
                <w:szCs w:val="16"/>
                <w:lang w:val="pt-BR" w:eastAsia="en-US" w:bidi="ar-SA"/>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0" w:after="0"/>
              <w:jc w:val="both"/>
              <w:rPr>
                <w:rFonts w:ascii="Times New Roman" w:hAnsi="Times New Roman"/>
                <w:b/>
                <w:bCs/>
                <w:sz w:val="16"/>
                <w:szCs w:val="16"/>
              </w:rPr>
            </w:pPr>
          </w:p>
          <w:p>
            <w:pPr>
              <w:pStyle w:val="173"/>
              <w:spacing w:before="0" w:after="0"/>
              <w:jc w:val="both"/>
              <w:rPr>
                <w:rFonts w:ascii="Times New Roman" w:hAnsi="Times New Roman"/>
                <w:b/>
                <w:bCs/>
                <w:sz w:val="16"/>
                <w:szCs w:val="16"/>
              </w:rPr>
            </w:pPr>
          </w:p>
          <w:p>
            <w:pPr>
              <w:pStyle w:val="173"/>
              <w:spacing w:before="0" w:after="0"/>
              <w:jc w:val="both"/>
              <w:rPr>
                <w:sz w:val="16"/>
                <w:szCs w:val="16"/>
              </w:rPr>
            </w:pPr>
            <w:r>
              <w:rPr>
                <w:rFonts w:ascii="Times New Roman" w:hAnsi="Times New Roman"/>
                <w:b/>
                <w:bCs/>
                <w:spacing w:val="-4"/>
                <w:kern w:val="0"/>
                <w:sz w:val="16"/>
                <w:szCs w:val="16"/>
                <w:lang w:val="pt-BR" w:eastAsia="en-US" w:bidi="ar-SA"/>
              </w:rPr>
              <w:t>00036486</w:t>
            </w:r>
          </w:p>
          <w:p>
            <w:pPr>
              <w:pStyle w:val="173"/>
              <w:spacing w:before="0" w:after="0"/>
              <w:jc w:val="both"/>
              <w:rPr>
                <w:rFonts w:ascii="Times New Roman" w:hAnsi="Times New Roman"/>
                <w:b/>
                <w:bCs/>
                <w:spacing w:val="-4"/>
                <w:kern w:val="0"/>
                <w:sz w:val="16"/>
                <w:szCs w:val="16"/>
                <w:lang w:val="pt-BR" w:eastAsia="en-US" w:bidi="ar-SA"/>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0" w:after="0"/>
              <w:jc w:val="both"/>
              <w:rPr>
                <w:rFonts w:ascii="Times New Roman" w:hAnsi="Times New Roman"/>
                <w:b/>
                <w:bCs/>
                <w:spacing w:val="-4"/>
                <w:kern w:val="0"/>
                <w:sz w:val="16"/>
                <w:szCs w:val="16"/>
                <w:lang w:val="pt-BR" w:eastAsia="en-US" w:bidi="ar-SA"/>
              </w:rPr>
            </w:pPr>
          </w:p>
          <w:p>
            <w:pPr>
              <w:pStyle w:val="173"/>
              <w:spacing w:before="0" w:after="0"/>
              <w:jc w:val="both"/>
              <w:rPr>
                <w:sz w:val="16"/>
                <w:szCs w:val="16"/>
              </w:rPr>
            </w:pPr>
            <w:r>
              <w:rPr>
                <w:rFonts w:ascii="Times New Roman" w:hAnsi="Times New Roman"/>
                <w:b/>
                <w:bCs/>
                <w:spacing w:val="-4"/>
                <w:kern w:val="0"/>
                <w:sz w:val="16"/>
                <w:szCs w:val="16"/>
                <w:lang w:val="pt-BR" w:eastAsia="en-US" w:bidi="ar-SA"/>
              </w:rPr>
              <w:t>57</w:t>
            </w:r>
          </w:p>
        </w:tc>
        <w:tc>
          <w:tcPr>
            <w:tcW w:w="827" w:type="dxa"/>
            <w:tcBorders>
              <w:top w:val="single" w:color="000000" w:sz="4" w:space="0"/>
              <w:left w:val="single" w:color="000000" w:sz="4" w:space="0"/>
              <w:bottom w:val="single" w:color="000000" w:sz="4" w:space="0"/>
            </w:tcBorders>
            <w:shd w:val="clear" w:color="auto" w:fill="auto"/>
            <w:vAlign w:val="center"/>
          </w:tcPr>
          <w:p>
            <w:pPr>
              <w:pStyle w:val="173"/>
              <w:spacing w:before="0" w:after="0" w:line="264" w:lineRule="auto"/>
              <w:jc w:val="both"/>
              <w:rPr>
                <w:rFonts w:ascii="Times New Roman" w:hAnsi="Times New Roman"/>
                <w:b/>
                <w:bCs/>
                <w:kern w:val="0"/>
                <w:sz w:val="16"/>
                <w:szCs w:val="16"/>
                <w:lang w:val="pt-BR" w:eastAsia="en-US" w:bidi="ar-SA"/>
              </w:rPr>
            </w:pPr>
          </w:p>
          <w:p>
            <w:pPr>
              <w:pStyle w:val="173"/>
              <w:spacing w:before="0" w:after="0" w:line="264" w:lineRule="auto"/>
              <w:jc w:val="both"/>
              <w:rPr>
                <w:sz w:val="16"/>
                <w:szCs w:val="16"/>
              </w:rPr>
            </w:pPr>
            <w:r>
              <w:rPr>
                <w:rFonts w:ascii="Times New Roman" w:hAnsi="Times New Roman"/>
                <w:b/>
                <w:bCs/>
                <w:kern w:val="0"/>
                <w:sz w:val="16"/>
                <w:szCs w:val="16"/>
                <w:lang w:val="pt-BR" w:eastAsia="en-US" w:bidi="ar-SA"/>
              </w:rPr>
              <w:t>UN</w:t>
            </w:r>
          </w:p>
        </w:tc>
        <w:tc>
          <w:tcPr>
            <w:tcW w:w="1209" w:type="dxa"/>
            <w:tcBorders>
              <w:top w:val="single" w:color="000000" w:sz="4" w:space="0"/>
              <w:left w:val="single" w:color="000000" w:sz="4" w:space="0"/>
              <w:bottom w:val="single" w:color="000000" w:sz="4" w:space="0"/>
            </w:tcBorders>
            <w:shd w:val="clear" w:color="auto" w:fill="auto"/>
            <w:vAlign w:val="center"/>
          </w:tcPr>
          <w:p>
            <w:pPr>
              <w:pStyle w:val="173"/>
              <w:spacing w:before="0" w:after="0" w:line="264" w:lineRule="auto"/>
              <w:jc w:val="both"/>
              <w:rPr>
                <w:rFonts w:ascii="Times New Roman" w:hAnsi="Times New Roman"/>
                <w:b/>
                <w:bCs/>
                <w:sz w:val="16"/>
                <w:szCs w:val="16"/>
              </w:rPr>
            </w:pPr>
          </w:p>
          <w:p>
            <w:pPr>
              <w:pStyle w:val="173"/>
              <w:spacing w:before="0" w:after="0" w:line="264" w:lineRule="auto"/>
              <w:jc w:val="both"/>
              <w:rPr>
                <w:rFonts w:hint="default"/>
                <w:sz w:val="16"/>
                <w:szCs w:val="16"/>
                <w:lang w:val="pt-BR"/>
              </w:rPr>
            </w:pPr>
            <w:r>
              <w:rPr>
                <w:rFonts w:ascii="Times New Roman" w:hAnsi="Times New Roman"/>
                <w:b/>
                <w:bCs/>
                <w:sz w:val="16"/>
                <w:szCs w:val="16"/>
              </w:rPr>
              <w:t>454, 6</w:t>
            </w:r>
            <w:r>
              <w:rPr>
                <w:rFonts w:hint="default" w:ascii="Times New Roman" w:hAnsi="Times New Roman"/>
                <w:b/>
                <w:bCs/>
                <w:sz w:val="16"/>
                <w:szCs w:val="16"/>
                <w:lang w:val="pt-BR"/>
              </w:rPr>
              <w:t>4</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0" w:after="0" w:line="264" w:lineRule="auto"/>
              <w:jc w:val="both"/>
              <w:rPr>
                <w:rFonts w:ascii="Times New Roman" w:hAnsi="Times New Roman"/>
                <w:b/>
                <w:bCs/>
                <w:sz w:val="16"/>
                <w:szCs w:val="16"/>
              </w:rPr>
            </w:pPr>
          </w:p>
          <w:p>
            <w:pPr>
              <w:pStyle w:val="173"/>
              <w:spacing w:before="0" w:after="0" w:line="264" w:lineRule="auto"/>
              <w:jc w:val="both"/>
              <w:rPr>
                <w:sz w:val="16"/>
                <w:szCs w:val="16"/>
              </w:rPr>
            </w:pPr>
            <w:r>
              <w:rPr>
                <w:rFonts w:ascii="Times New Roman" w:hAnsi="Times New Roman"/>
                <w:b/>
                <w:bCs/>
                <w:sz w:val="16"/>
                <w:szCs w:val="16"/>
              </w:rPr>
              <w:t>25.914,40</w:t>
            </w:r>
          </w:p>
        </w:tc>
      </w:tr>
      <w:tr>
        <w:tblPrEx>
          <w:tblCellMar>
            <w:top w:w="0" w:type="dxa"/>
            <w:left w:w="7" w:type="dxa"/>
            <w:bottom w:w="0" w:type="dxa"/>
            <w:right w:w="7" w:type="dxa"/>
          </w:tblCellMar>
        </w:tblPrEx>
        <w:trPr>
          <w:trHeight w:val="60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226" w:after="0"/>
              <w:jc w:val="both"/>
              <w:rPr>
                <w:sz w:val="16"/>
                <w:szCs w:val="16"/>
              </w:rPr>
            </w:pPr>
            <w:r>
              <w:rPr>
                <w:rFonts w:ascii="Times New Roman" w:hAnsi="Times New Roman"/>
                <w:b/>
                <w:spacing w:val="-5"/>
                <w:kern w:val="0"/>
                <w:sz w:val="16"/>
                <w:szCs w:val="16"/>
                <w:lang w:val="pt-BR" w:eastAsia="en-US" w:bidi="ar-SA"/>
              </w:rPr>
              <w:t>6</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0" w:after="0"/>
              <w:jc w:val="both"/>
              <w:rPr>
                <w:sz w:val="16"/>
                <w:szCs w:val="16"/>
              </w:rPr>
            </w:pPr>
            <w:r>
              <w:rPr>
                <w:rFonts w:ascii="Times New Roman" w:hAnsi="Times New Roman"/>
                <w:b/>
                <w:spacing w:val="-2"/>
                <w:kern w:val="0"/>
                <w:sz w:val="16"/>
                <w:szCs w:val="16"/>
                <w:u w:val="single"/>
                <w:lang w:val="pt-BR" w:eastAsia="en-US" w:bidi="ar-SA"/>
              </w:rPr>
              <w:t>MONITOR DE 23,8’ FULL HD:</w:t>
            </w:r>
          </w:p>
          <w:p>
            <w:pPr>
              <w:pStyle w:val="173"/>
              <w:spacing w:before="0" w:after="0"/>
              <w:jc w:val="both"/>
              <w:rPr>
                <w:rFonts w:ascii="Times New Roman" w:hAnsi="Times New Roman"/>
                <w:b/>
                <w:spacing w:val="-2"/>
                <w:kern w:val="0"/>
                <w:sz w:val="16"/>
                <w:szCs w:val="16"/>
                <w:u w:val="single"/>
                <w:lang w:val="pt-BR" w:eastAsia="en-US" w:bidi="ar-SA"/>
              </w:rPr>
            </w:pPr>
          </w:p>
          <w:p>
            <w:pPr>
              <w:pStyle w:val="173"/>
              <w:spacing w:before="0" w:after="0"/>
              <w:jc w:val="both"/>
              <w:rPr>
                <w:sz w:val="16"/>
                <w:szCs w:val="16"/>
              </w:rPr>
            </w:pPr>
            <w:r>
              <w:rPr>
                <w:rFonts w:ascii="Times New Roman" w:hAnsi="Times New Roman"/>
                <w:kern w:val="0"/>
                <w:sz w:val="16"/>
                <w:szCs w:val="16"/>
                <w:lang w:eastAsia="en-US" w:bidi="ar-SA"/>
              </w:rPr>
              <w:t>Monitor computador, tamanho tela: 23 a 30 pol, tipo de tela: led, formato tela: widescreen, qualidade de imagem: full hd, interatividade da tela: s em interatividade, ajuste: ajuste de rotação, altura e inclinação do display, alimentação: bivolt;</w:t>
            </w:r>
          </w:p>
          <w:p>
            <w:pPr>
              <w:pStyle w:val="173"/>
              <w:spacing w:before="226" w:after="0"/>
              <w:jc w:val="both"/>
              <w:rPr>
                <w:sz w:val="16"/>
                <w:szCs w:val="16"/>
              </w:rPr>
            </w:pPr>
            <w:r>
              <w:rPr>
                <w:rFonts w:ascii="Times New Roman" w:hAnsi="Times New Roman"/>
                <w:b/>
                <w:kern w:val="0"/>
                <w:sz w:val="16"/>
                <w:szCs w:val="16"/>
                <w:lang w:val="pt-BR" w:eastAsia="en-US" w:bidi="ar-SA"/>
              </w:rPr>
              <w:t xml:space="preserve">Garantia mínima: 36 </w:t>
            </w:r>
            <w:r>
              <w:rPr>
                <w:rFonts w:ascii="Times New Roman" w:hAnsi="Times New Roman"/>
                <w:b/>
                <w:spacing w:val="-2"/>
                <w:kern w:val="0"/>
                <w:sz w:val="16"/>
                <w:szCs w:val="16"/>
                <w:lang w:val="pt-BR" w:eastAsia="en-US" w:bidi="ar-SA"/>
              </w:rPr>
              <w:t>meses.</w:t>
            </w:r>
          </w:p>
          <w:p>
            <w:pPr>
              <w:pStyle w:val="173"/>
              <w:spacing w:before="0" w:after="0"/>
              <w:jc w:val="both"/>
              <w:rPr>
                <w:rFonts w:ascii="Times New Roman" w:hAnsi="Times New Roman"/>
                <w:b/>
                <w:kern w:val="0"/>
                <w:sz w:val="16"/>
                <w:szCs w:val="16"/>
                <w:u w:val="single"/>
                <w:lang w:val="pt-BR" w:eastAsia="en-US" w:bidi="ar-SA"/>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0" w:after="0" w:line="264" w:lineRule="auto"/>
              <w:jc w:val="both"/>
              <w:rPr>
                <w:rFonts w:ascii="Times New Roman" w:hAnsi="Times New Roman"/>
                <w:b/>
                <w:bCs/>
                <w:kern w:val="0"/>
                <w:sz w:val="16"/>
                <w:szCs w:val="16"/>
                <w:lang w:val="pt-BR" w:eastAsia="en-US" w:bidi="ar-SA"/>
              </w:rPr>
            </w:pPr>
          </w:p>
          <w:p>
            <w:pPr>
              <w:pStyle w:val="173"/>
              <w:spacing w:before="0" w:after="0" w:line="264" w:lineRule="auto"/>
              <w:jc w:val="both"/>
              <w:rPr>
                <w:rFonts w:ascii="Times New Roman" w:hAnsi="Times New Roman"/>
                <w:b/>
                <w:bCs/>
                <w:kern w:val="0"/>
                <w:sz w:val="16"/>
                <w:szCs w:val="16"/>
                <w:lang w:val="pt-BR" w:eastAsia="en-US" w:bidi="ar-SA"/>
              </w:rPr>
            </w:pPr>
          </w:p>
          <w:p>
            <w:pPr>
              <w:pStyle w:val="173"/>
              <w:spacing w:before="0" w:after="0" w:line="264" w:lineRule="auto"/>
              <w:jc w:val="both"/>
              <w:rPr>
                <w:sz w:val="16"/>
                <w:szCs w:val="16"/>
              </w:rPr>
            </w:pPr>
            <w:r>
              <w:rPr>
                <w:rFonts w:ascii="Times New Roman" w:hAnsi="Times New Roman"/>
                <w:b/>
                <w:bCs/>
                <w:kern w:val="0"/>
                <w:sz w:val="16"/>
                <w:szCs w:val="16"/>
                <w:lang w:val="pt-BR" w:eastAsia="en-US" w:bidi="ar-SA"/>
              </w:rPr>
              <w:t>00052263</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0" w:after="0"/>
              <w:jc w:val="both"/>
              <w:rPr>
                <w:rFonts w:ascii="Times New Roman" w:hAnsi="Times New Roman"/>
                <w:b/>
                <w:bCs/>
                <w:spacing w:val="-4"/>
                <w:kern w:val="0"/>
                <w:sz w:val="16"/>
                <w:szCs w:val="16"/>
                <w:lang w:val="pt-BR" w:eastAsia="en-US" w:bidi="ar-SA"/>
              </w:rPr>
            </w:pPr>
          </w:p>
          <w:p>
            <w:pPr>
              <w:pStyle w:val="173"/>
              <w:spacing w:before="0" w:after="0"/>
              <w:jc w:val="both"/>
              <w:rPr>
                <w:rFonts w:ascii="Times New Roman" w:hAnsi="Times New Roman"/>
                <w:b/>
                <w:bCs/>
                <w:spacing w:val="-4"/>
                <w:kern w:val="0"/>
                <w:sz w:val="16"/>
                <w:szCs w:val="16"/>
                <w:lang w:val="pt-BR" w:eastAsia="en-US" w:bidi="ar-SA"/>
              </w:rPr>
            </w:pPr>
          </w:p>
          <w:p>
            <w:pPr>
              <w:pStyle w:val="173"/>
              <w:spacing w:before="0" w:after="0"/>
              <w:jc w:val="both"/>
              <w:rPr>
                <w:sz w:val="16"/>
                <w:szCs w:val="16"/>
              </w:rPr>
            </w:pPr>
            <w:r>
              <w:rPr>
                <w:rFonts w:ascii="Times New Roman" w:hAnsi="Times New Roman"/>
                <w:b/>
                <w:bCs/>
                <w:spacing w:val="-4"/>
                <w:kern w:val="0"/>
                <w:sz w:val="16"/>
                <w:szCs w:val="16"/>
                <w:lang w:val="pt-BR" w:eastAsia="en-US" w:bidi="ar-SA"/>
              </w:rPr>
              <w:t>04</w:t>
            </w:r>
          </w:p>
        </w:tc>
        <w:tc>
          <w:tcPr>
            <w:tcW w:w="827" w:type="dxa"/>
            <w:tcBorders>
              <w:top w:val="single" w:color="000000" w:sz="4" w:space="0"/>
              <w:left w:val="single" w:color="000000" w:sz="4" w:space="0"/>
              <w:bottom w:val="single" w:color="000000" w:sz="4" w:space="0"/>
            </w:tcBorders>
            <w:shd w:val="clear" w:color="auto" w:fill="auto"/>
            <w:vAlign w:val="center"/>
          </w:tcPr>
          <w:p>
            <w:pPr>
              <w:pStyle w:val="173"/>
              <w:spacing w:before="0" w:after="0" w:line="264" w:lineRule="auto"/>
              <w:jc w:val="both"/>
              <w:rPr>
                <w:rFonts w:ascii="Times New Roman" w:hAnsi="Times New Roman"/>
                <w:b/>
                <w:bCs/>
                <w:kern w:val="0"/>
                <w:sz w:val="16"/>
                <w:szCs w:val="16"/>
                <w:lang w:val="pt-BR" w:eastAsia="en-US" w:bidi="ar-SA"/>
              </w:rPr>
            </w:pPr>
          </w:p>
          <w:p>
            <w:pPr>
              <w:pStyle w:val="173"/>
              <w:spacing w:before="0" w:after="0" w:line="264" w:lineRule="auto"/>
              <w:jc w:val="both"/>
              <w:rPr>
                <w:rFonts w:ascii="Times New Roman" w:hAnsi="Times New Roman"/>
                <w:b/>
                <w:bCs/>
                <w:kern w:val="0"/>
                <w:sz w:val="16"/>
                <w:szCs w:val="16"/>
                <w:lang w:val="pt-BR" w:eastAsia="en-US" w:bidi="ar-SA"/>
              </w:rPr>
            </w:pPr>
          </w:p>
          <w:p>
            <w:pPr>
              <w:pStyle w:val="173"/>
              <w:spacing w:before="0" w:after="0" w:line="264" w:lineRule="auto"/>
              <w:jc w:val="both"/>
              <w:rPr>
                <w:sz w:val="16"/>
                <w:szCs w:val="16"/>
              </w:rPr>
            </w:pPr>
            <w:r>
              <w:rPr>
                <w:rFonts w:ascii="Times New Roman" w:hAnsi="Times New Roman"/>
                <w:b/>
                <w:bCs/>
                <w:kern w:val="0"/>
                <w:sz w:val="16"/>
                <w:szCs w:val="16"/>
                <w:lang w:val="pt-BR" w:eastAsia="en-US" w:bidi="ar-SA"/>
              </w:rPr>
              <w:t>UN</w:t>
            </w:r>
          </w:p>
        </w:tc>
        <w:tc>
          <w:tcPr>
            <w:tcW w:w="1209" w:type="dxa"/>
            <w:tcBorders>
              <w:top w:val="single" w:color="000000" w:sz="4" w:space="0"/>
              <w:left w:val="single" w:color="000000" w:sz="4" w:space="0"/>
              <w:bottom w:val="single" w:color="000000" w:sz="4" w:space="0"/>
            </w:tcBorders>
            <w:shd w:val="clear" w:color="auto" w:fill="auto"/>
            <w:vAlign w:val="center"/>
          </w:tcPr>
          <w:p>
            <w:pPr>
              <w:pStyle w:val="173"/>
              <w:spacing w:before="0" w:after="0" w:line="264" w:lineRule="auto"/>
              <w:jc w:val="both"/>
              <w:rPr>
                <w:rFonts w:ascii="Times New Roman" w:hAnsi="Times New Roman"/>
                <w:b/>
                <w:bCs/>
                <w:sz w:val="16"/>
                <w:szCs w:val="16"/>
              </w:rPr>
            </w:pPr>
          </w:p>
          <w:p>
            <w:pPr>
              <w:pStyle w:val="173"/>
              <w:spacing w:before="0" w:after="0" w:line="264" w:lineRule="auto"/>
              <w:jc w:val="both"/>
              <w:rPr>
                <w:rFonts w:ascii="Times New Roman" w:hAnsi="Times New Roman"/>
                <w:b/>
                <w:bCs/>
                <w:sz w:val="16"/>
                <w:szCs w:val="16"/>
              </w:rPr>
            </w:pPr>
          </w:p>
          <w:p>
            <w:pPr>
              <w:pStyle w:val="173"/>
              <w:spacing w:before="0" w:after="0" w:line="264" w:lineRule="auto"/>
              <w:jc w:val="both"/>
              <w:rPr>
                <w:rFonts w:hint="default"/>
                <w:sz w:val="16"/>
                <w:szCs w:val="16"/>
                <w:lang w:val="pt-BR"/>
              </w:rPr>
            </w:pPr>
            <w:r>
              <w:rPr>
                <w:rFonts w:ascii="Times New Roman" w:hAnsi="Times New Roman"/>
                <w:b/>
                <w:bCs/>
                <w:sz w:val="16"/>
                <w:szCs w:val="16"/>
              </w:rPr>
              <w:t>1.618,6</w:t>
            </w:r>
            <w:r>
              <w:rPr>
                <w:rFonts w:hint="default" w:ascii="Times New Roman" w:hAnsi="Times New Roman"/>
                <w:b/>
                <w:bCs/>
                <w:sz w:val="16"/>
                <w:szCs w:val="16"/>
                <w:lang w:val="pt-BR"/>
              </w:rPr>
              <w:t>3</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0" w:after="0" w:line="264" w:lineRule="auto"/>
              <w:jc w:val="both"/>
              <w:rPr>
                <w:rFonts w:ascii="Times New Roman" w:hAnsi="Times New Roman"/>
                <w:b/>
                <w:bCs/>
                <w:sz w:val="16"/>
                <w:szCs w:val="16"/>
              </w:rPr>
            </w:pPr>
          </w:p>
          <w:p>
            <w:pPr>
              <w:pStyle w:val="173"/>
              <w:spacing w:before="0" w:after="0" w:line="264" w:lineRule="auto"/>
              <w:jc w:val="both"/>
              <w:rPr>
                <w:rFonts w:ascii="Times New Roman" w:hAnsi="Times New Roman"/>
                <w:b/>
                <w:bCs/>
                <w:sz w:val="16"/>
                <w:szCs w:val="16"/>
              </w:rPr>
            </w:pPr>
          </w:p>
          <w:p>
            <w:pPr>
              <w:pStyle w:val="173"/>
              <w:spacing w:before="0" w:after="0" w:line="264" w:lineRule="auto"/>
              <w:jc w:val="both"/>
              <w:rPr>
                <w:sz w:val="16"/>
                <w:szCs w:val="16"/>
              </w:rPr>
            </w:pPr>
            <w:r>
              <w:rPr>
                <w:rFonts w:ascii="Times New Roman" w:hAnsi="Times New Roman"/>
                <w:b/>
                <w:bCs/>
                <w:sz w:val="16"/>
                <w:szCs w:val="16"/>
              </w:rPr>
              <w:t>6.474,50</w:t>
            </w:r>
          </w:p>
        </w:tc>
      </w:tr>
      <w:tr>
        <w:tblPrEx>
          <w:tblCellMar>
            <w:top w:w="0" w:type="dxa"/>
            <w:left w:w="7" w:type="dxa"/>
            <w:bottom w:w="0" w:type="dxa"/>
            <w:right w:w="7" w:type="dxa"/>
          </w:tblCellMar>
        </w:tblPrEx>
        <w:trPr>
          <w:trHeight w:val="60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226" w:after="0"/>
              <w:jc w:val="both"/>
              <w:rPr>
                <w:sz w:val="16"/>
                <w:szCs w:val="16"/>
              </w:rPr>
            </w:pPr>
            <w:r>
              <w:rPr>
                <w:rFonts w:ascii="Times New Roman" w:hAnsi="Times New Roman"/>
                <w:b/>
                <w:spacing w:val="-5"/>
                <w:kern w:val="0"/>
                <w:sz w:val="16"/>
                <w:szCs w:val="16"/>
                <w:lang w:val="pt-BR" w:eastAsia="en-US" w:bidi="ar-SA"/>
              </w:rPr>
              <w:t>7</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0" w:after="0"/>
              <w:jc w:val="both"/>
              <w:rPr>
                <w:sz w:val="16"/>
                <w:szCs w:val="16"/>
              </w:rPr>
            </w:pPr>
            <w:r>
              <w:rPr>
                <w:rFonts w:ascii="Times New Roman" w:hAnsi="Times New Roman"/>
                <w:b/>
                <w:bCs/>
                <w:kern w:val="0"/>
                <w:sz w:val="16"/>
                <w:szCs w:val="16"/>
                <w:lang w:eastAsia="en-US" w:bidi="ar-SA"/>
              </w:rPr>
              <w:t>PLACA DE VÍDEO</w:t>
            </w:r>
          </w:p>
          <w:p>
            <w:pPr>
              <w:pStyle w:val="173"/>
              <w:spacing w:before="0" w:after="0"/>
              <w:jc w:val="both"/>
              <w:rPr>
                <w:sz w:val="16"/>
                <w:szCs w:val="16"/>
              </w:rPr>
            </w:pPr>
            <w:r>
              <w:rPr>
                <w:rFonts w:ascii="Times New Roman" w:hAnsi="Times New Roman"/>
                <w:kern w:val="0"/>
                <w:sz w:val="16"/>
                <w:szCs w:val="16"/>
                <w:lang w:eastAsia="en-US" w:bidi="ar-SA"/>
              </w:rPr>
              <w:t>Características mínimas abaixo:</w:t>
            </w:r>
          </w:p>
          <w:p>
            <w:pPr>
              <w:pStyle w:val="173"/>
              <w:spacing w:before="0" w:after="0"/>
              <w:jc w:val="both"/>
              <w:rPr>
                <w:sz w:val="16"/>
                <w:szCs w:val="16"/>
              </w:rPr>
            </w:pPr>
            <w:r>
              <w:rPr>
                <w:rFonts w:ascii="Times New Roman" w:hAnsi="Times New Roman"/>
                <w:kern w:val="0"/>
                <w:sz w:val="16"/>
                <w:szCs w:val="16"/>
                <w:lang w:eastAsia="en-US" w:bidi="ar-SA"/>
              </w:rPr>
              <w:t>Modelo: NVIDIA QUADRO T1000;</w:t>
            </w:r>
          </w:p>
          <w:p>
            <w:pPr>
              <w:pStyle w:val="173"/>
              <w:spacing w:before="0" w:after="0"/>
              <w:jc w:val="both"/>
              <w:rPr>
                <w:sz w:val="16"/>
                <w:szCs w:val="16"/>
              </w:rPr>
            </w:pPr>
            <w:r>
              <w:rPr>
                <w:rFonts w:ascii="Times New Roman" w:hAnsi="Times New Roman"/>
                <w:kern w:val="0"/>
                <w:sz w:val="16"/>
                <w:szCs w:val="16"/>
                <w:lang w:eastAsia="en-US" w:bidi="ar-SA"/>
              </w:rPr>
              <w:t>Memória: 4Gb GDDR5 128bits;</w:t>
            </w:r>
          </w:p>
          <w:p>
            <w:pPr>
              <w:pStyle w:val="173"/>
              <w:spacing w:before="0" w:after="0"/>
              <w:jc w:val="both"/>
              <w:rPr>
                <w:sz w:val="16"/>
                <w:szCs w:val="16"/>
              </w:rPr>
            </w:pPr>
            <w:r>
              <w:rPr>
                <w:rFonts w:ascii="Times New Roman" w:hAnsi="Times New Roman"/>
                <w:kern w:val="0"/>
                <w:sz w:val="16"/>
                <w:szCs w:val="16"/>
                <w:lang w:eastAsia="en-US" w:bidi="ar-SA"/>
              </w:rPr>
              <w:t>02 (duas) ventoinhas;</w:t>
            </w:r>
          </w:p>
          <w:p>
            <w:pPr>
              <w:pStyle w:val="173"/>
              <w:spacing w:before="0" w:after="0"/>
              <w:jc w:val="both"/>
              <w:rPr>
                <w:sz w:val="16"/>
                <w:szCs w:val="16"/>
              </w:rPr>
            </w:pPr>
            <w:r>
              <w:rPr>
                <w:rFonts w:ascii="Times New Roman" w:hAnsi="Times New Roman"/>
                <w:kern w:val="0"/>
                <w:sz w:val="16"/>
                <w:szCs w:val="16"/>
                <w:lang w:eastAsia="en-US" w:bidi="ar-SA"/>
              </w:rPr>
              <w:t>Clock da GPU: 8002Mhz;</w:t>
            </w:r>
          </w:p>
          <w:p>
            <w:pPr>
              <w:pStyle w:val="173"/>
              <w:spacing w:before="0" w:after="0"/>
              <w:jc w:val="both"/>
              <w:rPr>
                <w:sz w:val="16"/>
                <w:szCs w:val="16"/>
              </w:rPr>
            </w:pPr>
            <w:r>
              <w:rPr>
                <w:rFonts w:ascii="Times New Roman" w:hAnsi="Times New Roman"/>
                <w:kern w:val="0"/>
                <w:sz w:val="16"/>
                <w:szCs w:val="16"/>
                <w:lang w:eastAsia="en-US" w:bidi="ar-SA"/>
              </w:rPr>
              <w:t>Saída: 04 Micro Displayport;</w:t>
            </w:r>
          </w:p>
          <w:p>
            <w:pPr>
              <w:pStyle w:val="173"/>
              <w:spacing w:before="0" w:after="0"/>
              <w:jc w:val="both"/>
              <w:rPr>
                <w:sz w:val="16"/>
                <w:szCs w:val="16"/>
              </w:rPr>
            </w:pPr>
            <w:r>
              <w:rPr>
                <w:rFonts w:ascii="Times New Roman" w:hAnsi="Times New Roman"/>
                <w:kern w:val="0"/>
                <w:sz w:val="16"/>
                <w:szCs w:val="16"/>
                <w:lang w:eastAsia="en-US" w:bidi="ar-SA"/>
              </w:rPr>
              <w:t>Perfil baixo;</w:t>
            </w:r>
          </w:p>
          <w:p>
            <w:pPr>
              <w:pStyle w:val="173"/>
              <w:spacing w:before="0" w:after="0"/>
              <w:jc w:val="both"/>
              <w:rPr>
                <w:sz w:val="16"/>
                <w:szCs w:val="16"/>
              </w:rPr>
            </w:pPr>
            <w:r>
              <w:rPr>
                <w:rFonts w:ascii="Times New Roman" w:hAnsi="Times New Roman"/>
                <w:kern w:val="0"/>
                <w:sz w:val="16"/>
                <w:szCs w:val="16"/>
                <w:lang w:eastAsia="en-US" w:bidi="ar-SA"/>
              </w:rPr>
              <w:t>Interface: PCI-Express x 16;</w:t>
            </w:r>
          </w:p>
          <w:p>
            <w:pPr>
              <w:pStyle w:val="173"/>
              <w:spacing w:before="0" w:after="0"/>
              <w:jc w:val="both"/>
              <w:rPr>
                <w:sz w:val="16"/>
                <w:szCs w:val="16"/>
              </w:rPr>
            </w:pPr>
            <w:r>
              <w:rPr>
                <w:rFonts w:ascii="Times New Roman" w:hAnsi="Times New Roman"/>
                <w:kern w:val="0"/>
                <w:sz w:val="16"/>
                <w:szCs w:val="16"/>
                <w:lang w:eastAsia="en-US" w:bidi="ar-SA"/>
              </w:rPr>
              <w:t>Potência: 300 watts.</w:t>
            </w:r>
          </w:p>
          <w:p>
            <w:pPr>
              <w:pStyle w:val="173"/>
              <w:spacing w:before="226" w:after="0"/>
              <w:jc w:val="both"/>
              <w:rPr>
                <w:sz w:val="16"/>
                <w:szCs w:val="16"/>
              </w:rPr>
            </w:pPr>
            <w:r>
              <w:rPr>
                <w:rFonts w:ascii="Times New Roman" w:hAnsi="Times New Roman"/>
                <w:b/>
                <w:kern w:val="0"/>
                <w:sz w:val="16"/>
                <w:szCs w:val="16"/>
                <w:lang w:val="pt-BR" w:eastAsia="en-US" w:bidi="ar-SA"/>
              </w:rPr>
              <w:t xml:space="preserve">Garantia mínima: 12 </w:t>
            </w:r>
            <w:r>
              <w:rPr>
                <w:rFonts w:ascii="Times New Roman" w:hAnsi="Times New Roman"/>
                <w:b/>
                <w:spacing w:val="-2"/>
                <w:kern w:val="0"/>
                <w:sz w:val="16"/>
                <w:szCs w:val="16"/>
                <w:lang w:val="pt-BR" w:eastAsia="en-US" w:bidi="ar-SA"/>
              </w:rPr>
              <w:t>meses.</w:t>
            </w:r>
          </w:p>
          <w:p>
            <w:pPr>
              <w:pStyle w:val="173"/>
              <w:spacing w:before="0" w:after="0"/>
              <w:jc w:val="both"/>
              <w:rPr>
                <w:rFonts w:ascii="Times New Roman" w:hAnsi="Times New Roman"/>
                <w:kern w:val="0"/>
                <w:sz w:val="16"/>
                <w:szCs w:val="16"/>
                <w:lang w:val="pt-BR" w:eastAsia="en-US" w:bidi="ar-SA"/>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0" w:after="0"/>
              <w:jc w:val="both"/>
              <w:rPr>
                <w:sz w:val="16"/>
                <w:szCs w:val="16"/>
              </w:rPr>
            </w:pPr>
            <w:r>
              <w:rPr>
                <w:rFonts w:ascii="Times New Roman" w:hAnsi="Times New Roman"/>
                <w:b/>
                <w:bCs/>
                <w:spacing w:val="-4"/>
                <w:kern w:val="0"/>
                <w:sz w:val="16"/>
                <w:szCs w:val="16"/>
                <w:lang w:val="pt-BR" w:eastAsia="en-US" w:bidi="ar-SA"/>
              </w:rPr>
              <w:t>00074772</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0" w:after="0"/>
              <w:jc w:val="both"/>
              <w:rPr>
                <w:sz w:val="16"/>
                <w:szCs w:val="16"/>
              </w:rPr>
            </w:pPr>
            <w:r>
              <w:rPr>
                <w:rFonts w:ascii="Times New Roman" w:hAnsi="Times New Roman"/>
                <w:b/>
                <w:bCs/>
                <w:spacing w:val="-4"/>
                <w:kern w:val="0"/>
                <w:sz w:val="16"/>
                <w:szCs w:val="16"/>
                <w:lang w:val="pt-BR" w:eastAsia="en-US" w:bidi="ar-SA"/>
              </w:rPr>
              <w:t>01</w:t>
            </w:r>
          </w:p>
        </w:tc>
        <w:tc>
          <w:tcPr>
            <w:tcW w:w="827" w:type="dxa"/>
            <w:tcBorders>
              <w:top w:val="single" w:color="000000" w:sz="4" w:space="0"/>
              <w:left w:val="single" w:color="000000" w:sz="4" w:space="0"/>
              <w:bottom w:val="single" w:color="000000" w:sz="4" w:space="0"/>
            </w:tcBorders>
            <w:shd w:val="clear" w:color="auto" w:fill="auto"/>
            <w:vAlign w:val="center"/>
          </w:tcPr>
          <w:p>
            <w:pPr>
              <w:pStyle w:val="173"/>
              <w:spacing w:before="0" w:after="0" w:line="264" w:lineRule="auto"/>
              <w:jc w:val="both"/>
              <w:rPr>
                <w:sz w:val="16"/>
                <w:szCs w:val="16"/>
              </w:rPr>
            </w:pPr>
            <w:r>
              <w:rPr>
                <w:rFonts w:ascii="Times New Roman" w:hAnsi="Times New Roman"/>
                <w:b/>
                <w:bCs/>
                <w:kern w:val="0"/>
                <w:sz w:val="16"/>
                <w:szCs w:val="16"/>
                <w:lang w:val="pt-BR" w:eastAsia="en-US" w:bidi="ar-SA"/>
              </w:rPr>
              <w:t>UN</w:t>
            </w:r>
          </w:p>
        </w:tc>
        <w:tc>
          <w:tcPr>
            <w:tcW w:w="1209" w:type="dxa"/>
            <w:tcBorders>
              <w:top w:val="single" w:color="000000" w:sz="4" w:space="0"/>
              <w:left w:val="single" w:color="000000" w:sz="4" w:space="0"/>
              <w:bottom w:val="single" w:color="000000" w:sz="4" w:space="0"/>
            </w:tcBorders>
            <w:shd w:val="clear" w:color="auto" w:fill="auto"/>
            <w:vAlign w:val="center"/>
          </w:tcPr>
          <w:p>
            <w:pPr>
              <w:pStyle w:val="173"/>
              <w:spacing w:before="0" w:after="0" w:line="264" w:lineRule="auto"/>
              <w:jc w:val="both"/>
              <w:rPr>
                <w:rFonts w:hint="default"/>
                <w:sz w:val="16"/>
                <w:szCs w:val="16"/>
                <w:lang w:val="pt-BR"/>
              </w:rPr>
            </w:pPr>
            <w:r>
              <w:rPr>
                <w:rFonts w:ascii="Times New Roman" w:hAnsi="Times New Roman"/>
                <w:b/>
                <w:bCs/>
                <w:sz w:val="16"/>
                <w:szCs w:val="16"/>
              </w:rPr>
              <w:t>2.719,6</w:t>
            </w:r>
            <w:r>
              <w:rPr>
                <w:rFonts w:hint="default" w:ascii="Times New Roman" w:hAnsi="Times New Roman"/>
                <w:b/>
                <w:bCs/>
                <w:sz w:val="16"/>
                <w:szCs w:val="16"/>
                <w:lang w:val="pt-BR"/>
              </w:rPr>
              <w:t>7</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0" w:after="0" w:line="264" w:lineRule="auto"/>
              <w:jc w:val="both"/>
              <w:rPr>
                <w:rFonts w:hint="default"/>
                <w:sz w:val="16"/>
                <w:szCs w:val="16"/>
                <w:lang w:val="pt-BR"/>
              </w:rPr>
            </w:pPr>
            <w:r>
              <w:rPr>
                <w:rFonts w:ascii="Times New Roman" w:hAnsi="Times New Roman"/>
                <w:b/>
                <w:bCs/>
                <w:sz w:val="16"/>
                <w:szCs w:val="16"/>
              </w:rPr>
              <w:t>2.719,6</w:t>
            </w:r>
            <w:r>
              <w:rPr>
                <w:rFonts w:hint="default" w:ascii="Times New Roman" w:hAnsi="Times New Roman"/>
                <w:b/>
                <w:bCs/>
                <w:sz w:val="16"/>
                <w:szCs w:val="16"/>
                <w:lang w:val="pt-BR"/>
              </w:rPr>
              <w:t>7</w:t>
            </w:r>
          </w:p>
        </w:tc>
      </w:tr>
    </w:tbl>
    <w:p>
      <w:pPr>
        <w:pStyle w:val="60"/>
        <w:jc w:val="both"/>
        <w:rPr>
          <w:rFonts w:ascii="Times New Roman" w:hAnsi="Times New Roman" w:cs="Times New Roman"/>
          <w:sz w:val="16"/>
          <w:szCs w:val="16"/>
        </w:rPr>
      </w:pPr>
    </w:p>
    <w:p>
      <w:pPr>
        <w:pStyle w:val="60"/>
        <w:jc w:val="both"/>
        <w:rPr>
          <w:rFonts w:ascii="Times New Roman" w:hAnsi="Times New Roman" w:cs="Times New Roman"/>
          <w:sz w:val="16"/>
          <w:szCs w:val="16"/>
        </w:rPr>
      </w:pPr>
    </w:p>
    <w:tbl>
      <w:tblPr>
        <w:tblStyle w:val="9"/>
        <w:tblW w:w="8614" w:type="dxa"/>
        <w:tblInd w:w="55" w:type="dxa"/>
        <w:tblLayout w:type="fixed"/>
        <w:tblCellMar>
          <w:top w:w="55" w:type="dxa"/>
          <w:left w:w="55" w:type="dxa"/>
          <w:bottom w:w="55" w:type="dxa"/>
          <w:right w:w="55" w:type="dxa"/>
        </w:tblCellMar>
      </w:tblPr>
      <w:tblGrid>
        <w:gridCol w:w="1486"/>
        <w:gridCol w:w="1490"/>
        <w:gridCol w:w="1488"/>
        <w:gridCol w:w="1489"/>
        <w:gridCol w:w="1488"/>
        <w:gridCol w:w="1172"/>
      </w:tblGrid>
      <w:tr>
        <w:tc>
          <w:tcPr>
            <w:tcW w:w="8613" w:type="dxa"/>
            <w:gridSpan w:val="6"/>
            <w:tcBorders>
              <w:top w:val="single" w:color="000000" w:sz="4" w:space="0"/>
              <w:left w:val="single" w:color="000000" w:sz="4" w:space="0"/>
              <w:bottom w:val="single" w:color="000000" w:sz="4" w:space="0"/>
              <w:right w:val="single" w:color="000000" w:sz="4" w:space="0"/>
            </w:tcBorders>
            <w:shd w:val="clear" w:color="auto" w:fill="B2B2B2"/>
          </w:tcPr>
          <w:p>
            <w:pPr>
              <w:pStyle w:val="173"/>
              <w:spacing w:before="226" w:after="0"/>
              <w:jc w:val="center"/>
            </w:pPr>
            <w:r>
              <w:rPr>
                <w:rFonts w:ascii="Times New Roman" w:hAnsi="Times New Roman"/>
                <w:b/>
                <w:bCs/>
                <w:sz w:val="18"/>
                <w:szCs w:val="18"/>
              </w:rPr>
              <w:t>LOTE 02</w:t>
            </w:r>
          </w:p>
        </w:tc>
      </w:tr>
      <w:tr>
        <w:tblPrEx>
          <w:tblCellMar>
            <w:top w:w="55" w:type="dxa"/>
            <w:left w:w="55" w:type="dxa"/>
            <w:bottom w:w="55" w:type="dxa"/>
            <w:right w:w="55" w:type="dxa"/>
          </w:tblCellMar>
        </w:tblPrEx>
        <w:tc>
          <w:tcPr>
            <w:tcW w:w="1486" w:type="dxa"/>
            <w:tcBorders>
              <w:left w:val="single" w:color="000000" w:sz="4" w:space="0"/>
              <w:bottom w:val="single" w:color="000000" w:sz="4" w:space="0"/>
            </w:tcBorders>
          </w:tcPr>
          <w:p>
            <w:pPr>
              <w:pStyle w:val="173"/>
              <w:spacing w:before="226" w:after="0"/>
              <w:jc w:val="center"/>
              <w:rPr>
                <w:sz w:val="16"/>
                <w:szCs w:val="16"/>
              </w:rPr>
            </w:pPr>
            <w:r>
              <w:rPr>
                <w:rFonts w:ascii="Times New Roman" w:hAnsi="Times New Roman"/>
                <w:kern w:val="0"/>
                <w:sz w:val="16"/>
                <w:szCs w:val="16"/>
                <w:lang w:eastAsia="en-US" w:bidi="ar-SA"/>
              </w:rPr>
              <w:t>8</w:t>
            </w:r>
          </w:p>
          <w:p>
            <w:pPr>
              <w:pStyle w:val="173"/>
              <w:spacing w:before="226" w:after="0"/>
              <w:jc w:val="center"/>
              <w:rPr>
                <w:kern w:val="0"/>
                <w:sz w:val="16"/>
                <w:szCs w:val="16"/>
                <w:lang w:eastAsia="en-US" w:bidi="ar-SA"/>
              </w:rPr>
            </w:pPr>
          </w:p>
        </w:tc>
        <w:tc>
          <w:tcPr>
            <w:tcW w:w="1490" w:type="dxa"/>
            <w:tcBorders>
              <w:left w:val="single" w:color="000000" w:sz="4" w:space="0"/>
              <w:bottom w:val="single" w:color="000000" w:sz="4" w:space="0"/>
            </w:tcBorders>
          </w:tcPr>
          <w:p>
            <w:pPr>
              <w:pStyle w:val="173"/>
              <w:spacing w:before="0" w:after="0"/>
              <w:jc w:val="left"/>
              <w:rPr>
                <w:rFonts w:ascii="Times New Roman" w:hAnsi="Times New Roman"/>
                <w:b/>
                <w:bCs/>
                <w:kern w:val="0"/>
                <w:lang w:eastAsia="en-US" w:bidi="ar-SA"/>
              </w:rPr>
            </w:pPr>
          </w:p>
          <w:p>
            <w:pPr>
              <w:pStyle w:val="173"/>
              <w:spacing w:before="0" w:after="0"/>
              <w:jc w:val="left"/>
              <w:rPr>
                <w:sz w:val="16"/>
                <w:szCs w:val="16"/>
              </w:rPr>
            </w:pPr>
            <w:r>
              <w:rPr>
                <w:rFonts w:ascii="Times New Roman" w:hAnsi="Times New Roman"/>
                <w:b/>
                <w:bCs/>
                <w:kern w:val="0"/>
                <w:sz w:val="16"/>
                <w:szCs w:val="16"/>
                <w:lang w:eastAsia="en-US" w:bidi="ar-SA"/>
              </w:rPr>
              <w:t>INSTALAÇÃO DAS CAMERAS</w:t>
            </w:r>
          </w:p>
          <w:p>
            <w:pPr>
              <w:pStyle w:val="173"/>
              <w:spacing w:before="0" w:after="0"/>
              <w:jc w:val="left"/>
              <w:rPr>
                <w:kern w:val="0"/>
                <w:sz w:val="16"/>
                <w:szCs w:val="16"/>
                <w:lang w:eastAsia="en-US" w:bidi="ar-SA"/>
              </w:rPr>
            </w:pPr>
          </w:p>
        </w:tc>
        <w:tc>
          <w:tcPr>
            <w:tcW w:w="1488" w:type="dxa"/>
            <w:tcBorders>
              <w:left w:val="single" w:color="000000" w:sz="4" w:space="0"/>
              <w:bottom w:val="single" w:color="000000" w:sz="4" w:space="0"/>
            </w:tcBorders>
          </w:tcPr>
          <w:p>
            <w:pPr>
              <w:pStyle w:val="173"/>
              <w:spacing w:before="0" w:after="0"/>
              <w:jc w:val="center"/>
              <w:rPr>
                <w:rFonts w:ascii="Times New Roman" w:hAnsi="Times New Roman"/>
                <w:b/>
                <w:bCs/>
                <w:kern w:val="0"/>
                <w:lang w:eastAsia="en-US" w:bidi="ar-SA"/>
              </w:rPr>
            </w:pPr>
          </w:p>
          <w:p>
            <w:pPr>
              <w:pStyle w:val="173"/>
              <w:spacing w:before="0" w:after="0"/>
              <w:jc w:val="center"/>
              <w:rPr>
                <w:sz w:val="16"/>
                <w:szCs w:val="16"/>
              </w:rPr>
            </w:pPr>
            <w:r>
              <w:rPr>
                <w:rFonts w:ascii="Times New Roman" w:hAnsi="Times New Roman"/>
                <w:b/>
                <w:bCs/>
                <w:kern w:val="0"/>
                <w:sz w:val="16"/>
                <w:szCs w:val="16"/>
                <w:lang w:eastAsia="en-US" w:bidi="ar-SA"/>
              </w:rPr>
              <w:t>00025452</w:t>
            </w:r>
          </w:p>
        </w:tc>
        <w:tc>
          <w:tcPr>
            <w:tcW w:w="1489" w:type="dxa"/>
            <w:tcBorders>
              <w:left w:val="single" w:color="000000" w:sz="4" w:space="0"/>
              <w:bottom w:val="single" w:color="000000" w:sz="4" w:space="0"/>
            </w:tcBorders>
          </w:tcPr>
          <w:p>
            <w:pPr>
              <w:pStyle w:val="173"/>
              <w:spacing w:before="0" w:after="0"/>
              <w:jc w:val="center"/>
              <w:rPr>
                <w:rFonts w:ascii="Times New Roman" w:hAnsi="Times New Roman"/>
                <w:b/>
                <w:bCs/>
                <w:kern w:val="0"/>
                <w:lang w:eastAsia="en-US" w:bidi="ar-SA"/>
              </w:rPr>
            </w:pPr>
          </w:p>
          <w:p>
            <w:pPr>
              <w:pStyle w:val="173"/>
              <w:spacing w:before="0" w:after="0"/>
              <w:jc w:val="center"/>
              <w:rPr>
                <w:sz w:val="16"/>
                <w:szCs w:val="16"/>
              </w:rPr>
            </w:pPr>
            <w:r>
              <w:rPr>
                <w:rFonts w:ascii="Times New Roman" w:hAnsi="Times New Roman"/>
                <w:b/>
                <w:bCs/>
                <w:kern w:val="0"/>
                <w:sz w:val="16"/>
                <w:szCs w:val="16"/>
                <w:lang w:eastAsia="en-US" w:bidi="ar-SA"/>
              </w:rPr>
              <w:t>01</w:t>
            </w:r>
          </w:p>
        </w:tc>
        <w:tc>
          <w:tcPr>
            <w:tcW w:w="1488" w:type="dxa"/>
            <w:tcBorders>
              <w:left w:val="single" w:color="000000" w:sz="4" w:space="0"/>
              <w:bottom w:val="single" w:color="000000" w:sz="4" w:space="0"/>
            </w:tcBorders>
          </w:tcPr>
          <w:p>
            <w:pPr>
              <w:pStyle w:val="173"/>
              <w:spacing w:before="0" w:after="0" w:line="264" w:lineRule="auto"/>
              <w:jc w:val="center"/>
              <w:rPr>
                <w:rFonts w:ascii="Times New Roman" w:hAnsi="Times New Roman"/>
                <w:b/>
                <w:bCs/>
                <w:kern w:val="0"/>
                <w:lang w:eastAsia="en-US" w:bidi="ar-SA"/>
              </w:rPr>
            </w:pPr>
          </w:p>
          <w:p>
            <w:pPr>
              <w:pStyle w:val="173"/>
              <w:spacing w:before="0" w:after="0" w:line="264" w:lineRule="auto"/>
              <w:jc w:val="center"/>
              <w:rPr>
                <w:sz w:val="16"/>
                <w:szCs w:val="16"/>
              </w:rPr>
            </w:pPr>
            <w:r>
              <w:rPr>
                <w:rFonts w:ascii="Times New Roman" w:hAnsi="Times New Roman"/>
                <w:b/>
                <w:bCs/>
                <w:kern w:val="0"/>
                <w:sz w:val="16"/>
                <w:szCs w:val="16"/>
                <w:lang w:eastAsia="en-US" w:bidi="ar-SA"/>
              </w:rPr>
              <w:t>SRV</w:t>
            </w:r>
          </w:p>
        </w:tc>
        <w:tc>
          <w:tcPr>
            <w:tcW w:w="1172" w:type="dxa"/>
            <w:tcBorders>
              <w:left w:val="single" w:color="000000" w:sz="4" w:space="0"/>
              <w:bottom w:val="single" w:color="000000" w:sz="4" w:space="0"/>
              <w:right w:val="single" w:color="000000" w:sz="4" w:space="0"/>
            </w:tcBorders>
          </w:tcPr>
          <w:p>
            <w:pPr>
              <w:pStyle w:val="173"/>
              <w:spacing w:before="0" w:after="0" w:line="264" w:lineRule="auto"/>
              <w:jc w:val="center"/>
              <w:rPr>
                <w:rFonts w:ascii="Times New Roman" w:hAnsi="Times New Roman"/>
                <w:b/>
                <w:bCs/>
              </w:rPr>
            </w:pPr>
          </w:p>
          <w:p>
            <w:pPr>
              <w:pStyle w:val="173"/>
              <w:spacing w:before="0" w:after="0" w:line="264" w:lineRule="auto"/>
              <w:jc w:val="center"/>
              <w:rPr>
                <w:sz w:val="16"/>
                <w:szCs w:val="16"/>
              </w:rPr>
            </w:pPr>
            <w:r>
              <w:rPr>
                <w:rFonts w:ascii="Times New Roman" w:hAnsi="Times New Roman"/>
                <w:b/>
                <w:bCs/>
                <w:sz w:val="16"/>
                <w:szCs w:val="16"/>
              </w:rPr>
              <w:t>15.788,</w:t>
            </w:r>
            <w:r>
              <w:rPr>
                <w:rFonts w:hint="default" w:ascii="Times New Roman" w:hAnsi="Times New Roman"/>
                <w:b/>
                <w:bCs/>
                <w:sz w:val="16"/>
                <w:szCs w:val="16"/>
                <w:lang w:val="pt-BR"/>
              </w:rPr>
              <w:t>8</w:t>
            </w:r>
            <w:r>
              <w:rPr>
                <w:rFonts w:ascii="Times New Roman" w:hAnsi="Times New Roman"/>
                <w:b/>
                <w:bCs/>
                <w:sz w:val="16"/>
                <w:szCs w:val="16"/>
              </w:rPr>
              <w:t>3</w:t>
            </w:r>
          </w:p>
        </w:tc>
      </w:tr>
    </w:tbl>
    <w:p>
      <w:pPr>
        <w:pStyle w:val="60"/>
        <w:jc w:val="both"/>
        <w:rPr>
          <w:rFonts w:ascii="Times New Roman" w:hAnsi="Times New Roman" w:cs="Times New Roman"/>
        </w:rPr>
      </w:pPr>
    </w:p>
    <w:tbl>
      <w:tblPr>
        <w:tblStyle w:val="9"/>
        <w:tblW w:w="8796" w:type="dxa"/>
        <w:tblInd w:w="76" w:type="dxa"/>
        <w:tblLayout w:type="fixed"/>
        <w:tblCellMar>
          <w:top w:w="0" w:type="dxa"/>
          <w:left w:w="7" w:type="dxa"/>
          <w:bottom w:w="0" w:type="dxa"/>
          <w:right w:w="7" w:type="dxa"/>
        </w:tblCellMar>
      </w:tblPr>
      <w:tblGrid>
        <w:gridCol w:w="5099"/>
        <w:gridCol w:w="3696"/>
      </w:tblGrid>
      <w:tr>
        <w:tblPrEx>
          <w:tblCellMar>
            <w:top w:w="0" w:type="dxa"/>
            <w:left w:w="7" w:type="dxa"/>
            <w:bottom w:w="0" w:type="dxa"/>
            <w:right w:w="7" w:type="dxa"/>
          </w:tblCellMar>
        </w:tblPrEx>
        <w:trPr>
          <w:trHeight w:val="602" w:hRule="atLeast"/>
        </w:trPr>
        <w:tc>
          <w:tcPr>
            <w:tcW w:w="5099" w:type="dxa"/>
            <w:tcBorders>
              <w:top w:val="single" w:color="000000" w:sz="4" w:space="0"/>
              <w:left w:val="single" w:color="000000" w:sz="4" w:space="0"/>
              <w:bottom w:val="single" w:color="000000" w:sz="4" w:space="0"/>
              <w:right w:val="single" w:color="000000" w:sz="4" w:space="0"/>
            </w:tcBorders>
            <w:shd w:val="clear" w:color="auto" w:fill="B2B2B2"/>
            <w:vAlign w:val="center"/>
          </w:tcPr>
          <w:p>
            <w:pPr>
              <w:pStyle w:val="173"/>
              <w:spacing w:before="226" w:after="0"/>
              <w:jc w:val="center"/>
            </w:pPr>
            <w:r>
              <w:rPr>
                <w:rFonts w:ascii="Times New Roman" w:hAnsi="Times New Roman"/>
                <w:b/>
                <w:bCs/>
                <w:kern w:val="0"/>
                <w:sz w:val="20"/>
                <w:szCs w:val="20"/>
                <w:lang w:eastAsia="en-US" w:bidi="ar-SA"/>
              </w:rPr>
              <w:t>VALOR TOTAL:</w:t>
            </w:r>
          </w:p>
        </w:tc>
        <w:tc>
          <w:tcPr>
            <w:tcW w:w="3696" w:type="dxa"/>
            <w:tcBorders>
              <w:top w:val="single" w:color="000000" w:sz="4" w:space="0"/>
              <w:left w:val="single" w:color="000000" w:sz="4" w:space="0"/>
              <w:bottom w:val="single" w:color="000000" w:sz="4" w:space="0"/>
              <w:right w:val="single" w:color="000000" w:sz="4" w:space="0"/>
            </w:tcBorders>
            <w:shd w:val="clear" w:color="auto" w:fill="B2B2B2"/>
            <w:vAlign w:val="center"/>
          </w:tcPr>
          <w:p>
            <w:pPr>
              <w:pStyle w:val="173"/>
              <w:spacing w:before="0" w:after="0"/>
              <w:jc w:val="both"/>
              <w:rPr>
                <w:rFonts w:ascii="Times New Roman" w:hAnsi="Times New Roman"/>
                <w:kern w:val="0"/>
                <w:sz w:val="20"/>
                <w:szCs w:val="20"/>
                <w:lang w:eastAsia="en-US" w:bidi="ar-SA"/>
              </w:rPr>
            </w:pPr>
          </w:p>
          <w:p>
            <w:pPr>
              <w:pStyle w:val="173"/>
              <w:spacing w:before="0" w:after="0"/>
              <w:jc w:val="both"/>
              <w:rPr>
                <w:sz w:val="16"/>
                <w:szCs w:val="16"/>
              </w:rPr>
            </w:pPr>
            <w:r>
              <w:rPr>
                <w:rFonts w:ascii="Times New Roman" w:hAnsi="Times New Roman"/>
                <w:b/>
                <w:bCs/>
                <w:kern w:val="0"/>
                <w:sz w:val="16"/>
                <w:szCs w:val="16"/>
                <w:lang w:eastAsia="en-US" w:bidi="ar-SA"/>
              </w:rPr>
              <w:t>R$ 101.</w:t>
            </w:r>
            <w:r>
              <w:rPr>
                <w:rFonts w:hint="default" w:ascii="Times New Roman" w:hAnsi="Times New Roman"/>
                <w:b/>
                <w:bCs/>
                <w:kern w:val="0"/>
                <w:sz w:val="16"/>
                <w:szCs w:val="16"/>
                <w:lang w:val="pt-BR" w:eastAsia="en-US" w:bidi="ar-SA"/>
              </w:rPr>
              <w:t>149</w:t>
            </w:r>
            <w:r>
              <w:rPr>
                <w:rFonts w:ascii="Times New Roman" w:hAnsi="Times New Roman"/>
                <w:b/>
                <w:bCs/>
                <w:kern w:val="0"/>
                <w:sz w:val="16"/>
                <w:szCs w:val="16"/>
                <w:lang w:eastAsia="en-US" w:bidi="ar-SA"/>
              </w:rPr>
              <w:t>,</w:t>
            </w:r>
            <w:r>
              <w:rPr>
                <w:rFonts w:hint="default" w:ascii="Times New Roman" w:hAnsi="Times New Roman"/>
                <w:b/>
                <w:bCs/>
                <w:kern w:val="0"/>
                <w:sz w:val="16"/>
                <w:szCs w:val="16"/>
                <w:lang w:val="pt-BR" w:eastAsia="en-US" w:bidi="ar-SA"/>
              </w:rPr>
              <w:t>29</w:t>
            </w:r>
            <w:r>
              <w:rPr>
                <w:rFonts w:ascii="Times New Roman" w:hAnsi="Times New Roman"/>
                <w:b/>
                <w:bCs/>
                <w:kern w:val="0"/>
                <w:sz w:val="16"/>
                <w:szCs w:val="16"/>
                <w:lang w:eastAsia="en-US" w:bidi="ar-SA"/>
              </w:rPr>
              <w:t xml:space="preserve"> (Cento e um mil</w:t>
            </w:r>
            <w:r>
              <w:rPr>
                <w:rFonts w:hint="default" w:ascii="Times New Roman" w:hAnsi="Times New Roman"/>
                <w:b/>
                <w:bCs/>
                <w:kern w:val="0"/>
                <w:sz w:val="16"/>
                <w:szCs w:val="16"/>
                <w:lang w:val="pt-BR" w:eastAsia="en-US" w:bidi="ar-SA"/>
              </w:rPr>
              <w:t>,</w:t>
            </w:r>
            <w:r>
              <w:rPr>
                <w:rFonts w:ascii="Times New Roman" w:hAnsi="Times New Roman"/>
                <w:b/>
                <w:bCs/>
                <w:kern w:val="0"/>
                <w:sz w:val="16"/>
                <w:szCs w:val="16"/>
                <w:lang w:eastAsia="en-US" w:bidi="ar-SA"/>
              </w:rPr>
              <w:t xml:space="preserve"> cento e quarenta e </w:t>
            </w:r>
            <w:r>
              <w:rPr>
                <w:rFonts w:hint="default" w:ascii="Times New Roman" w:hAnsi="Times New Roman"/>
                <w:b/>
                <w:bCs/>
                <w:kern w:val="0"/>
                <w:sz w:val="16"/>
                <w:szCs w:val="16"/>
                <w:lang w:val="pt-BR" w:eastAsia="en-US" w:bidi="ar-SA"/>
              </w:rPr>
              <w:t xml:space="preserve">nove reais e vinte </w:t>
            </w:r>
            <w:r>
              <w:rPr>
                <w:rFonts w:ascii="Times New Roman" w:hAnsi="Times New Roman"/>
                <w:b/>
                <w:bCs/>
                <w:kern w:val="0"/>
                <w:sz w:val="16"/>
                <w:szCs w:val="16"/>
                <w:lang w:eastAsia="en-US" w:bidi="ar-SA"/>
              </w:rPr>
              <w:t>e nove centavos).</w:t>
            </w:r>
          </w:p>
          <w:p>
            <w:pPr>
              <w:pStyle w:val="173"/>
              <w:spacing w:before="0" w:after="0"/>
              <w:jc w:val="both"/>
              <w:rPr>
                <w:rFonts w:ascii="Times New Roman" w:hAnsi="Times New Roman"/>
                <w:kern w:val="0"/>
                <w:sz w:val="16"/>
                <w:szCs w:val="16"/>
                <w:lang w:eastAsia="en-US" w:bidi="ar-SA"/>
              </w:rPr>
            </w:pPr>
          </w:p>
        </w:tc>
      </w:tr>
    </w:tbl>
    <w:p>
      <w:pPr>
        <w:pStyle w:val="60"/>
        <w:jc w:val="both"/>
        <w:rPr>
          <w:rFonts w:ascii="Times New Roman" w:hAnsi="Times New Roman"/>
        </w:rPr>
      </w:pP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Fazem parte do presente Edital os anexos abaixo relacionados: </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Anexo I - Termo de Referência;</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Anexo II - Modelo de Declarações;</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Anexo III - Modelo de Proposta;</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Anexo IV - Minuta da Ata de Registro de Preços;</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Anexo V - Minuta do Instrumento de Contrato.</w:t>
      </w:r>
    </w:p>
    <w:p>
      <w:pPr>
        <w:pStyle w:val="3"/>
        <w:numPr>
          <w:ilvl w:val="0"/>
          <w:numId w:val="0"/>
        </w:numPr>
        <w:tabs>
          <w:tab w:val="left" w:pos="1134"/>
        </w:tabs>
        <w:spacing w:before="0" w:beforeAutospacing="0" w:after="0" w:afterAutospacing="0"/>
        <w:ind w:left="1080" w:firstLine="0"/>
        <w:jc w:val="both"/>
        <w:textAlignment w:val="baseline"/>
        <w:rPr>
          <w:rStyle w:val="45"/>
          <w:color w:val="000000"/>
          <w:sz w:val="22"/>
          <w:szCs w:val="22"/>
        </w:rPr>
      </w:pPr>
    </w:p>
    <w:p>
      <w:pPr>
        <w:pStyle w:val="3"/>
        <w:numPr>
          <w:ilvl w:val="0"/>
          <w:numId w:val="0"/>
        </w:numPr>
        <w:tabs>
          <w:tab w:val="left" w:pos="1134"/>
        </w:tabs>
        <w:spacing w:before="0" w:beforeAutospacing="0" w:after="0" w:afterAutospacing="0"/>
        <w:ind w:left="1080" w:firstLine="0"/>
        <w:jc w:val="both"/>
        <w:textAlignment w:val="baseline"/>
        <w:rPr>
          <w:rStyle w:val="45"/>
          <w:color w:val="000000"/>
          <w:sz w:val="22"/>
          <w:szCs w:val="22"/>
        </w:rPr>
      </w:pPr>
    </w:p>
    <w:p>
      <w:pPr>
        <w:pStyle w:val="2"/>
        <w:spacing w:before="360" w:after="0"/>
      </w:pPr>
      <w:bookmarkStart w:id="6" w:name="_Toc149517432"/>
      <w:r>
        <w:rPr>
          <w:rStyle w:val="45"/>
          <w:sz w:val="22"/>
          <w:szCs w:val="22"/>
        </w:rPr>
        <w:t>CONDIÇÕES PARA PARTICIPAÇÃO</w:t>
      </w:r>
      <w:bookmarkEnd w:id="6"/>
      <w:r>
        <w:rPr>
          <w:rStyle w:val="45"/>
          <w:sz w:val="22"/>
          <w:szCs w:val="22"/>
        </w:rPr>
        <w:t> </w:t>
      </w:r>
    </w:p>
    <w:p>
      <w:pPr>
        <w:pStyle w:val="3"/>
        <w:numPr>
          <w:ilvl w:val="1"/>
          <w:numId w:val="1"/>
        </w:numPr>
        <w:tabs>
          <w:tab w:val="left" w:pos="1134"/>
        </w:tabs>
        <w:spacing w:before="120" w:beforeAutospacing="0" w:after="0" w:afterAutospacing="0"/>
        <w:ind w:left="0" w:firstLine="567"/>
        <w:jc w:val="both"/>
        <w:textAlignment w:val="baseline"/>
      </w:pPr>
      <w:r>
        <w:rPr>
          <w:rStyle w:val="45"/>
          <w:color w:val="000000"/>
          <w:sz w:val="22"/>
          <w:szCs w:val="22"/>
        </w:rPr>
        <w:t xml:space="preserve">Para </w:t>
      </w:r>
      <w:r>
        <w:rPr>
          <w:sz w:val="22"/>
          <w:szCs w:val="22"/>
        </w:rPr>
        <w:t>participar</w:t>
      </w:r>
      <w:r>
        <w:rPr>
          <w:rStyle w:val="45"/>
          <w:color w:val="000000"/>
          <w:sz w:val="22"/>
          <w:szCs w:val="22"/>
        </w:rPr>
        <w:t xml:space="preserve"> deste Pregão, em sua forma eletrônica (</w:t>
      </w:r>
      <w:r>
        <w:fldChar w:fldCharType="begin"/>
      </w:r>
      <w:r>
        <w:rPr>
          <w:rStyle w:val="54"/>
          <w:sz w:val="22"/>
          <w:szCs w:val="22"/>
        </w:rPr>
        <w:instrText xml:space="preserve"> HYPERLINK "https://www.planalto.gov.br/ccivil_03/_ato2019-2022/2021/lei/l14133.htm" \l "art17"</w:instrText>
      </w:r>
      <w:r>
        <w:rPr>
          <w:rStyle w:val="54"/>
          <w:sz w:val="22"/>
          <w:szCs w:val="22"/>
        </w:rPr>
        <w:fldChar w:fldCharType="separate"/>
      </w:r>
      <w:r>
        <w:rPr>
          <w:rStyle w:val="54"/>
          <w:sz w:val="22"/>
          <w:szCs w:val="22"/>
        </w:rPr>
        <w:t>art. 17, § 2º, da Lei Federal nº 14.133, de 2021</w:t>
      </w:r>
      <w:r>
        <w:rPr>
          <w:rStyle w:val="54"/>
          <w:sz w:val="22"/>
          <w:szCs w:val="22"/>
        </w:rPr>
        <w:fldChar w:fldCharType="end"/>
      </w:r>
      <w:r>
        <w:rPr>
          <w:rStyle w:val="45"/>
          <w:color w:val="000000"/>
          <w:sz w:val="22"/>
          <w:szCs w:val="22"/>
        </w:rPr>
        <w:t>), a licitante deverá preencher os seguintes requisitos:</w:t>
      </w:r>
      <w:r>
        <w:rPr>
          <w:rStyle w:val="47"/>
          <w:color w:val="000000"/>
          <w:sz w:val="22"/>
          <w:szCs w:val="22"/>
        </w:rPr>
        <w:t xml:space="preserve"> </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Pessoa jurídica cujo ramo de atividade seja compatível com o objeto desta licitação;</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 xml:space="preserve">Ser credenciada junto ao </w:t>
      </w:r>
      <w:r>
        <w:rPr>
          <w:sz w:val="22"/>
          <w:szCs w:val="22"/>
        </w:rPr>
        <w:t xml:space="preserve">Portal Licitanet, disponível no endereço eletrônico: </w:t>
      </w:r>
      <w:r>
        <w:fldChar w:fldCharType="begin"/>
      </w:r>
      <w:r>
        <w:instrText xml:space="preserve"> HYPERLINK "https://www.licitanet.com.br/" \h </w:instrText>
      </w:r>
      <w:r>
        <w:fldChar w:fldCharType="separate"/>
      </w:r>
      <w:r>
        <w:rPr>
          <w:rStyle w:val="54"/>
          <w:sz w:val="22"/>
          <w:szCs w:val="22"/>
        </w:rPr>
        <w:t>https://www.licitanet.com.br/</w:t>
      </w:r>
      <w:r>
        <w:rPr>
          <w:rStyle w:val="54"/>
          <w:sz w:val="22"/>
          <w:szCs w:val="22"/>
        </w:rPr>
        <w:fldChar w:fldCharType="end"/>
      </w:r>
      <w:r>
        <w:rPr>
          <w:rStyle w:val="45"/>
          <w:color w:val="000000"/>
          <w:sz w:val="22"/>
          <w:szCs w:val="22"/>
        </w:rPr>
        <w:t>, que atuará como órgão provedor do sistema eletrônico;</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Enviar em campo próprio do sistema eletrônico a</w:t>
      </w:r>
      <w:r>
        <w:rPr>
          <w:rStyle w:val="45"/>
          <w:sz w:val="22"/>
          <w:szCs w:val="22"/>
        </w:rPr>
        <w:t>s</w:t>
      </w:r>
      <w:r>
        <w:rPr>
          <w:rStyle w:val="45"/>
          <w:color w:val="000000"/>
          <w:sz w:val="22"/>
          <w:szCs w:val="22"/>
        </w:rPr>
        <w:t xml:space="preserve"> seguintes declarações virtuais de que:</w:t>
      </w:r>
    </w:p>
    <w:p>
      <w:pPr>
        <w:pStyle w:val="3"/>
        <w:numPr>
          <w:ilvl w:val="3"/>
          <w:numId w:val="1"/>
        </w:numPr>
        <w:tabs>
          <w:tab w:val="left" w:pos="1134"/>
        </w:tabs>
        <w:spacing w:before="0" w:beforeAutospacing="0" w:after="0" w:afterAutospacing="0"/>
        <w:jc w:val="both"/>
        <w:textAlignment w:val="baseline"/>
      </w:pPr>
      <w:r>
        <w:rPr>
          <w:rStyle w:val="45"/>
          <w:color w:val="000000"/>
          <w:sz w:val="22"/>
          <w:szCs w:val="22"/>
        </w:rPr>
        <w:t>cumpre plenamente os requisitos de habilitação e que sua proposta está em conformidade com as exigências do instrumento convocatório; (</w:t>
      </w:r>
      <w:r>
        <w:fldChar w:fldCharType="begin"/>
      </w:r>
      <w:r>
        <w:rPr>
          <w:rStyle w:val="54"/>
          <w:sz w:val="22"/>
          <w:szCs w:val="22"/>
        </w:rPr>
        <w:instrText xml:space="preserve"> HYPERLINK "https://www.planalto.gov.br/ccivil_03/_ato2019-2022/2021/lei/l14133.htm" \l "art63"</w:instrText>
      </w:r>
      <w:r>
        <w:rPr>
          <w:rStyle w:val="54"/>
          <w:sz w:val="22"/>
          <w:szCs w:val="22"/>
        </w:rPr>
        <w:fldChar w:fldCharType="separate"/>
      </w:r>
      <w:r>
        <w:rPr>
          <w:rStyle w:val="54"/>
          <w:sz w:val="22"/>
          <w:szCs w:val="22"/>
        </w:rPr>
        <w:t>art. 63, I, da Lei Federal nº 14.133, de 2021</w:t>
      </w:r>
      <w:r>
        <w:rPr>
          <w:rStyle w:val="54"/>
          <w:sz w:val="22"/>
          <w:szCs w:val="22"/>
        </w:rPr>
        <w:fldChar w:fldCharType="end"/>
      </w:r>
      <w:r>
        <w:rPr>
          <w:rStyle w:val="45"/>
          <w:color w:val="000000"/>
          <w:sz w:val="22"/>
          <w:szCs w:val="22"/>
        </w:rPr>
        <w:t>).</w:t>
      </w:r>
    </w:p>
    <w:p>
      <w:pPr>
        <w:pStyle w:val="3"/>
        <w:numPr>
          <w:ilvl w:val="3"/>
          <w:numId w:val="1"/>
        </w:numPr>
        <w:tabs>
          <w:tab w:val="left" w:pos="1134"/>
        </w:tabs>
        <w:spacing w:before="0" w:beforeAutospacing="0" w:after="0" w:afterAutospacing="0"/>
        <w:jc w:val="both"/>
        <w:textAlignment w:val="baseline"/>
      </w:pPr>
      <w:r>
        <w:rPr>
          <w:rStyle w:val="45"/>
          <w:color w:val="000000"/>
          <w:sz w:val="22"/>
          <w:szCs w:val="22"/>
        </w:rPr>
        <w:t xml:space="preserve">atende aos requisitos do </w:t>
      </w:r>
      <w:r>
        <w:fldChar w:fldCharType="begin"/>
      </w:r>
      <w:r>
        <w:rPr>
          <w:rStyle w:val="54"/>
          <w:sz w:val="22"/>
          <w:szCs w:val="22"/>
        </w:rPr>
        <w:instrText xml:space="preserve"> HYPERLINK "https://www.planalto.gov.br/ccivil_03/_ato2019-2022/2021/lei/l14133.htm" \l "art4"</w:instrText>
      </w:r>
      <w:r>
        <w:rPr>
          <w:rStyle w:val="54"/>
          <w:sz w:val="22"/>
          <w:szCs w:val="22"/>
        </w:rPr>
        <w:fldChar w:fldCharType="separate"/>
      </w:r>
      <w:r>
        <w:rPr>
          <w:rStyle w:val="54"/>
          <w:sz w:val="22"/>
          <w:szCs w:val="22"/>
        </w:rPr>
        <w:t>art. 4º, §§2º e 3º, da Lei Federal nº 14.133, de 2021</w:t>
      </w:r>
      <w:r>
        <w:rPr>
          <w:rStyle w:val="54"/>
          <w:sz w:val="22"/>
          <w:szCs w:val="22"/>
        </w:rPr>
        <w:fldChar w:fldCharType="end"/>
      </w:r>
      <w:r>
        <w:rPr>
          <w:rStyle w:val="45"/>
          <w:color w:val="000000"/>
          <w:sz w:val="22"/>
          <w:szCs w:val="22"/>
        </w:rPr>
        <w:t xml:space="preserve"> para fazer jus aos benefícios previstos nos </w:t>
      </w:r>
      <w:r>
        <w:fldChar w:fldCharType="begin"/>
      </w:r>
      <w:r>
        <w:rPr>
          <w:rStyle w:val="54"/>
          <w:sz w:val="22"/>
          <w:szCs w:val="22"/>
        </w:rPr>
        <w:instrText xml:space="preserve"> HYPERLINK "https://www.planalto.gov.br/ccivil_03/leis/lcp/lcp123.htm" \l "art42"</w:instrText>
      </w:r>
      <w:r>
        <w:rPr>
          <w:rStyle w:val="54"/>
          <w:sz w:val="22"/>
          <w:szCs w:val="22"/>
        </w:rPr>
        <w:fldChar w:fldCharType="separate"/>
      </w:r>
      <w:r>
        <w:rPr>
          <w:rStyle w:val="54"/>
          <w:sz w:val="22"/>
          <w:szCs w:val="22"/>
        </w:rPr>
        <w:t>arts. 42 a 49 da Lei Complementar Federal nº 123, de 2006</w:t>
      </w:r>
      <w:r>
        <w:rPr>
          <w:rStyle w:val="54"/>
          <w:sz w:val="22"/>
          <w:szCs w:val="22"/>
        </w:rPr>
        <w:fldChar w:fldCharType="end"/>
      </w:r>
      <w:r>
        <w:rPr>
          <w:rStyle w:val="45"/>
          <w:color w:val="000000"/>
          <w:sz w:val="22"/>
          <w:szCs w:val="22"/>
        </w:rPr>
        <w:t>; (</w:t>
      </w:r>
      <w:r>
        <w:fldChar w:fldCharType="begin"/>
      </w:r>
      <w:r>
        <w:rPr>
          <w:rStyle w:val="54"/>
          <w:sz w:val="22"/>
          <w:szCs w:val="22"/>
        </w:rPr>
        <w:instrText xml:space="preserve"> HYPERLINK "https://www.planalto.gov.br/ccivil_03/_ato2019-2022/2021/lei/l14133.htm" \l "art4"</w:instrText>
      </w:r>
      <w:r>
        <w:rPr>
          <w:rStyle w:val="54"/>
          <w:sz w:val="22"/>
          <w:szCs w:val="22"/>
        </w:rPr>
        <w:fldChar w:fldCharType="separate"/>
      </w:r>
      <w:r>
        <w:rPr>
          <w:rStyle w:val="54"/>
          <w:sz w:val="22"/>
          <w:szCs w:val="22"/>
        </w:rPr>
        <w:t>art. 4º, §§2º e 3º da Lei Federal nº 14.133, de 2021</w:t>
      </w:r>
      <w:r>
        <w:rPr>
          <w:rStyle w:val="54"/>
          <w:sz w:val="22"/>
          <w:szCs w:val="22"/>
        </w:rPr>
        <w:fldChar w:fldCharType="end"/>
      </w:r>
      <w:r>
        <w:rPr>
          <w:rStyle w:val="45"/>
          <w:color w:val="000000"/>
          <w:sz w:val="22"/>
          <w:szCs w:val="22"/>
        </w:rPr>
        <w:t>)</w:t>
      </w:r>
    </w:p>
    <w:p>
      <w:pPr>
        <w:pStyle w:val="3"/>
        <w:numPr>
          <w:ilvl w:val="3"/>
          <w:numId w:val="1"/>
        </w:numPr>
        <w:tabs>
          <w:tab w:val="left" w:pos="1134"/>
        </w:tabs>
        <w:spacing w:before="0" w:beforeAutospacing="0" w:after="0" w:afterAutospacing="0"/>
        <w:jc w:val="both"/>
        <w:textAlignment w:val="baseline"/>
      </w:pPr>
      <w:r>
        <w:rPr>
          <w:rStyle w:val="45"/>
          <w:sz w:val="22"/>
          <w:szCs w:val="22"/>
        </w:rPr>
        <w:t xml:space="preserve">cumpre as exigências de reserva de cargos para pessoa com deficiência e para reabilitado da Previdência Social, previstas no </w:t>
      </w:r>
      <w:r>
        <w:fldChar w:fldCharType="begin"/>
      </w:r>
      <w:r>
        <w:rPr>
          <w:rStyle w:val="54"/>
          <w:sz w:val="22"/>
          <w:szCs w:val="22"/>
        </w:rPr>
        <w:instrText xml:space="preserve"> HYPERLINK "https://www.planalto.gov.br/ccivil_03/leis/l8213cons.htm" \l "art93"</w:instrText>
      </w:r>
      <w:r>
        <w:rPr>
          <w:rStyle w:val="54"/>
          <w:sz w:val="22"/>
          <w:szCs w:val="22"/>
        </w:rPr>
        <w:fldChar w:fldCharType="separate"/>
      </w:r>
      <w:r>
        <w:rPr>
          <w:rStyle w:val="54"/>
          <w:sz w:val="22"/>
          <w:szCs w:val="22"/>
        </w:rPr>
        <w:t>art. 93 da Lei Federal nº 8.213, de 1991</w:t>
      </w:r>
      <w:r>
        <w:rPr>
          <w:rStyle w:val="54"/>
          <w:sz w:val="22"/>
          <w:szCs w:val="22"/>
        </w:rPr>
        <w:fldChar w:fldCharType="end"/>
      </w:r>
      <w:r>
        <w:rPr>
          <w:rStyle w:val="45"/>
          <w:sz w:val="22"/>
          <w:szCs w:val="22"/>
        </w:rPr>
        <w:t xml:space="preserve"> e em outras normas específicas; (</w:t>
      </w:r>
      <w:r>
        <w:fldChar w:fldCharType="begin"/>
      </w:r>
      <w:r>
        <w:rPr>
          <w:rStyle w:val="54"/>
          <w:sz w:val="22"/>
          <w:szCs w:val="22"/>
        </w:rPr>
        <w:instrText xml:space="preserve"> HYPERLINK "https://www.planalto.gov.br/ccivil_03/_ato2019-2022/2021/lei/l14133.htm" \l "art63"</w:instrText>
      </w:r>
      <w:r>
        <w:rPr>
          <w:rStyle w:val="54"/>
          <w:sz w:val="22"/>
          <w:szCs w:val="22"/>
        </w:rPr>
        <w:fldChar w:fldCharType="separate"/>
      </w:r>
      <w:r>
        <w:rPr>
          <w:rStyle w:val="54"/>
          <w:sz w:val="22"/>
          <w:szCs w:val="22"/>
        </w:rPr>
        <w:t>art. 63, IV, da Lei Federal nº 14.133, de 2021</w:t>
      </w:r>
      <w:r>
        <w:rPr>
          <w:rStyle w:val="54"/>
          <w:sz w:val="22"/>
          <w:szCs w:val="22"/>
        </w:rPr>
        <w:fldChar w:fldCharType="end"/>
      </w:r>
      <w:r>
        <w:rPr>
          <w:rStyle w:val="45"/>
          <w:sz w:val="22"/>
          <w:szCs w:val="22"/>
        </w:rPr>
        <w:t>)</w:t>
      </w:r>
    </w:p>
    <w:p>
      <w:pPr>
        <w:pStyle w:val="3"/>
        <w:numPr>
          <w:ilvl w:val="3"/>
          <w:numId w:val="1"/>
        </w:numPr>
        <w:tabs>
          <w:tab w:val="left" w:pos="1134"/>
        </w:tabs>
        <w:spacing w:before="0" w:beforeAutospacing="0" w:after="0" w:afterAutospacing="0"/>
        <w:jc w:val="both"/>
        <w:textAlignment w:val="baseline"/>
      </w:pPr>
      <w:r>
        <w:rPr>
          <w:rStyle w:val="45"/>
          <w:color w:val="000000"/>
          <w:sz w:val="22"/>
          <w:szCs w:val="22"/>
        </w:rPr>
        <w:t>inexiste fato impeditivo para licitar ou contratar com a União Federal.</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 xml:space="preserve">A declaração falsa sujeitará a licitante à inabilitação e ao enquadramento na infração prevista no </w:t>
      </w:r>
      <w:r>
        <w:fldChar w:fldCharType="begin"/>
      </w:r>
      <w:r>
        <w:rPr>
          <w:rStyle w:val="54"/>
          <w:sz w:val="22"/>
          <w:szCs w:val="22"/>
        </w:rPr>
        <w:instrText xml:space="preserve"> HYPERLINK "https://www.planalto.gov.br/ccivil_03/_ato2019-2022/2021/lei/l14133.htm" \l "art155"</w:instrText>
      </w:r>
      <w:r>
        <w:rPr>
          <w:rStyle w:val="54"/>
          <w:sz w:val="22"/>
          <w:szCs w:val="22"/>
        </w:rPr>
        <w:fldChar w:fldCharType="separate"/>
      </w:r>
      <w:r>
        <w:rPr>
          <w:rStyle w:val="54"/>
          <w:sz w:val="22"/>
          <w:szCs w:val="22"/>
        </w:rPr>
        <w:t>art. 155, VIII, da Lei Federal nº 14.133, de 2021</w:t>
      </w:r>
      <w:r>
        <w:rPr>
          <w:rStyle w:val="54"/>
          <w:sz w:val="22"/>
          <w:szCs w:val="22"/>
        </w:rPr>
        <w:fldChar w:fldCharType="end"/>
      </w:r>
      <w:r>
        <w:rPr>
          <w:rStyle w:val="45"/>
          <w:color w:val="000000"/>
          <w:sz w:val="22"/>
          <w:szCs w:val="22"/>
        </w:rPr>
        <w:t>.</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Todos os custos decorrentes da elaboração e apresentação das propostas serão de responsabilidade exclusiva do licitante, não se responsabilizando a Câmara Municipal de Primavera do Leste - MT por quaisquer custos, transações efetuadas pela licitante ou eventual desconexão do sistema.</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Não poderão participar deste Pregão:</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aquele que não atenda às condições deste Edital e seu(s) anexo(s);</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pessoas físicas;</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Microempreendedores Individuais (MEI’s);</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pessoas jurídicas que não possuam Inscrição Municipal ou que não possuam autorização legal para a prestação dos serviços que são objeto do presente Pregão;</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 xml:space="preserve">empresa que possua entre seus sócios </w:t>
      </w:r>
      <w:r>
        <w:rPr>
          <w:rStyle w:val="45"/>
          <w:sz w:val="22"/>
          <w:szCs w:val="22"/>
        </w:rPr>
        <w:t xml:space="preserve">agente público vinculado à </w:t>
      </w:r>
      <w:r>
        <w:rPr>
          <w:rStyle w:val="45"/>
          <w:color w:val="000000"/>
          <w:sz w:val="22"/>
          <w:szCs w:val="22"/>
        </w:rPr>
        <w:t>Câmara Municipal de Primavera do Leste - MT</w:t>
      </w:r>
      <w:r>
        <w:rPr>
          <w:rStyle w:val="45"/>
          <w:sz w:val="22"/>
          <w:szCs w:val="22"/>
        </w:rPr>
        <w:t>;</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 xml:space="preserve">quem não cumprir os requisitos formais para participação neste </w:t>
      </w:r>
      <w:r>
        <w:rPr>
          <w:rStyle w:val="45"/>
          <w:color w:val="000000" w:themeColor="text1"/>
          <w:sz w:val="22"/>
          <w:szCs w:val="22"/>
        </w:rPr>
        <w:t>Pregão</w:t>
      </w:r>
      <w:r>
        <w:rPr>
          <w:rStyle w:val="45"/>
          <w:color w:val="000000"/>
          <w:sz w:val="22"/>
          <w:szCs w:val="22"/>
        </w:rPr>
        <w:t>;</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agentes públicos ou terceiros que se enquadrem em situações que possam configurar conflito de interesses no exercício ou após o exercício do cargo ou emprego, nos termos da legislação que disciplina a matéria; (</w:t>
      </w:r>
      <w:r>
        <w:fldChar w:fldCharType="begin"/>
      </w:r>
      <w:r>
        <w:rPr>
          <w:rStyle w:val="54"/>
          <w:sz w:val="22"/>
          <w:szCs w:val="22"/>
        </w:rPr>
        <w:instrText xml:space="preserve"> HYPERLINK "https://www.planalto.gov.br/ccivil_03/_ato2019-2022/2021/lei/l14133.htm" \l "art9"</w:instrText>
      </w:r>
      <w:r>
        <w:rPr>
          <w:rStyle w:val="54"/>
          <w:sz w:val="22"/>
          <w:szCs w:val="22"/>
        </w:rPr>
        <w:fldChar w:fldCharType="separate"/>
      </w:r>
      <w:r>
        <w:rPr>
          <w:rStyle w:val="54"/>
          <w:sz w:val="22"/>
          <w:szCs w:val="22"/>
        </w:rPr>
        <w:t>art. 9º, §1º, da Lei Federal nº 14.133, de 2021</w:t>
      </w:r>
      <w:r>
        <w:rPr>
          <w:rStyle w:val="54"/>
          <w:sz w:val="22"/>
          <w:szCs w:val="22"/>
        </w:rPr>
        <w:fldChar w:fldCharType="end"/>
      </w:r>
      <w:r>
        <w:rPr>
          <w:rStyle w:val="45"/>
          <w:color w:val="000000"/>
          <w:sz w:val="22"/>
          <w:szCs w:val="22"/>
        </w:rPr>
        <w:t>);</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terceiro que auxilie a condução da contratação na qualidade de integrante de equipe de apoio, profissional especializado ou funcionário ou representante de empresa que preste assessoria técnica; (</w:t>
      </w:r>
      <w:r>
        <w:fldChar w:fldCharType="begin"/>
      </w:r>
      <w:r>
        <w:rPr>
          <w:rStyle w:val="54"/>
          <w:sz w:val="22"/>
          <w:szCs w:val="22"/>
        </w:rPr>
        <w:instrText xml:space="preserve"> HYPERLINK "https://www.planalto.gov.br/ccivil_03/_ato2019-2022/2021/lei/l14133.htm" \l "art9"</w:instrText>
      </w:r>
      <w:r>
        <w:rPr>
          <w:rStyle w:val="54"/>
          <w:sz w:val="22"/>
          <w:szCs w:val="22"/>
        </w:rPr>
        <w:fldChar w:fldCharType="separate"/>
      </w:r>
      <w:r>
        <w:rPr>
          <w:rStyle w:val="54"/>
          <w:sz w:val="22"/>
          <w:szCs w:val="22"/>
        </w:rPr>
        <w:t>art. 9º, §2º, da Lei Federal nº 14.133, de 2021</w:t>
      </w:r>
      <w:r>
        <w:rPr>
          <w:rStyle w:val="54"/>
          <w:sz w:val="22"/>
          <w:szCs w:val="22"/>
        </w:rPr>
        <w:fldChar w:fldCharType="end"/>
      </w:r>
      <w:r>
        <w:rPr>
          <w:rStyle w:val="45"/>
          <w:color w:val="000000"/>
          <w:sz w:val="22"/>
          <w:szCs w:val="22"/>
        </w:rPr>
        <w:t>);</w:t>
      </w:r>
    </w:p>
    <w:p>
      <w:pPr>
        <w:pStyle w:val="3"/>
        <w:numPr>
          <w:ilvl w:val="2"/>
          <w:numId w:val="1"/>
        </w:numPr>
        <w:tabs>
          <w:tab w:val="left" w:pos="1134"/>
        </w:tabs>
        <w:spacing w:before="0" w:beforeAutospacing="0" w:after="0" w:afterAutospacing="0"/>
        <w:jc w:val="both"/>
        <w:textAlignment w:val="baseline"/>
      </w:pPr>
      <w:r>
        <w:rPr>
          <w:rStyle w:val="45"/>
          <w:sz w:val="22"/>
          <w:szCs w:val="22"/>
        </w:rPr>
        <w:t xml:space="preserve">autor do anteprojeto, do projeto básico ou do projeto executivo; </w:t>
      </w:r>
      <w:r>
        <w:rPr>
          <w:rStyle w:val="45"/>
          <w:color w:val="000000"/>
          <w:sz w:val="22"/>
          <w:szCs w:val="22"/>
        </w:rPr>
        <w:t>(</w:t>
      </w:r>
      <w:r>
        <w:fldChar w:fldCharType="begin"/>
      </w:r>
      <w:r>
        <w:rPr>
          <w:rStyle w:val="54"/>
          <w:sz w:val="22"/>
          <w:szCs w:val="22"/>
        </w:rPr>
        <w:instrText xml:space="preserve"> HYPERLINK "https://www.planalto.gov.br/ccivil_03/_ato2019-2022/2021/lei/l14133.htm" \l "art14"</w:instrText>
      </w:r>
      <w:r>
        <w:rPr>
          <w:rStyle w:val="54"/>
          <w:sz w:val="22"/>
          <w:szCs w:val="22"/>
        </w:rPr>
        <w:fldChar w:fldCharType="separate"/>
      </w:r>
      <w:r>
        <w:rPr>
          <w:rStyle w:val="54"/>
          <w:sz w:val="22"/>
          <w:szCs w:val="22"/>
        </w:rPr>
        <w:t>art. 14, I e II e §§ 2º e 3º, da Lei Federal nº 14.133, de 2021</w:t>
      </w:r>
      <w:r>
        <w:rPr>
          <w:rStyle w:val="54"/>
          <w:sz w:val="22"/>
          <w:szCs w:val="22"/>
        </w:rPr>
        <w:fldChar w:fldCharType="end"/>
      </w:r>
      <w:r>
        <w:rPr>
          <w:rStyle w:val="45"/>
          <w:color w:val="000000"/>
          <w:sz w:val="22"/>
          <w:szCs w:val="22"/>
        </w:rPr>
        <w:t>).</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pessoa jurídica que se encontre, ao tempo da licitação, impossibilitada de participar da licitação ou contratação em decorrência de sanção que lhe foi imposta, assim como aqueles que atuem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 (</w:t>
      </w:r>
      <w:r>
        <w:fldChar w:fldCharType="begin"/>
      </w:r>
      <w:r>
        <w:rPr>
          <w:rStyle w:val="54"/>
          <w:sz w:val="22"/>
          <w:szCs w:val="22"/>
        </w:rPr>
        <w:instrText xml:space="preserve"> HYPERLINK "https://www.planalto.gov.br/ccivil_03/_ato2019-2022/2021/lei/l14133.htm" \l "art14"</w:instrText>
      </w:r>
      <w:r>
        <w:rPr>
          <w:rStyle w:val="54"/>
          <w:sz w:val="22"/>
          <w:szCs w:val="22"/>
        </w:rPr>
        <w:fldChar w:fldCharType="separate"/>
      </w:r>
      <w:r>
        <w:rPr>
          <w:rStyle w:val="54"/>
          <w:sz w:val="22"/>
          <w:szCs w:val="22"/>
        </w:rPr>
        <w:t>art. 14, III e §1º da Lei Federal nº 14.133, de 2021</w:t>
      </w:r>
      <w:r>
        <w:rPr>
          <w:rStyle w:val="54"/>
          <w:sz w:val="22"/>
          <w:szCs w:val="22"/>
        </w:rPr>
        <w:fldChar w:fldCharType="end"/>
      </w:r>
      <w:r>
        <w:rPr>
          <w:rStyle w:val="45"/>
          <w:color w:val="000000"/>
          <w:sz w:val="22"/>
          <w:szCs w:val="22"/>
        </w:rPr>
        <w:t>);</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aquele que mantenha vínculo de natureza técnica, comercial, econômica, financeira, trabalhista ou civil com dirigente da Câmara Municipal de Primavera do Leste - MT</w:t>
      </w:r>
      <w:r>
        <w:rPr>
          <w:sz w:val="22"/>
          <w:szCs w:val="22"/>
        </w:rPr>
        <w:t xml:space="preserve">  </w:t>
      </w:r>
      <w:r>
        <w:rPr>
          <w:rStyle w:val="45"/>
          <w:color w:val="000000"/>
          <w:sz w:val="22"/>
          <w:szCs w:val="22"/>
        </w:rPr>
        <w:t>ou com agente público que desempenhe função na licitação ou atue na fiscalização ou na gestão do contrato, ou que deles seja cônjuge, companheiro ou parente em linha reta, colateral ou por afinidade, até o terceiro grau; (</w:t>
      </w:r>
      <w:r>
        <w:fldChar w:fldCharType="begin"/>
      </w:r>
      <w:r>
        <w:rPr>
          <w:rStyle w:val="54"/>
          <w:sz w:val="22"/>
          <w:szCs w:val="22"/>
        </w:rPr>
        <w:instrText xml:space="preserve"> HYPERLINK "https://www.planalto.gov.br/ccivil_03/_ato2019-2022/2021/lei/l14133.htm" \l "art14"</w:instrText>
      </w:r>
      <w:r>
        <w:rPr>
          <w:rStyle w:val="54"/>
          <w:sz w:val="22"/>
          <w:szCs w:val="22"/>
        </w:rPr>
        <w:fldChar w:fldCharType="separate"/>
      </w:r>
      <w:r>
        <w:rPr>
          <w:rStyle w:val="54"/>
          <w:sz w:val="22"/>
          <w:szCs w:val="22"/>
        </w:rPr>
        <w:t>art. 14, IV, da Lei Federal nº 14.133, de 2021</w:t>
      </w:r>
      <w:r>
        <w:rPr>
          <w:rStyle w:val="54"/>
          <w:sz w:val="22"/>
          <w:szCs w:val="22"/>
        </w:rPr>
        <w:fldChar w:fldCharType="end"/>
      </w:r>
      <w:r>
        <w:rPr>
          <w:rStyle w:val="45"/>
          <w:color w:val="000000"/>
          <w:sz w:val="22"/>
          <w:szCs w:val="22"/>
        </w:rPr>
        <w:t>);</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 xml:space="preserve">empresas controladoras, controladas ou coligadas, nos termos da </w:t>
      </w:r>
      <w:r>
        <w:fldChar w:fldCharType="begin"/>
      </w:r>
      <w:r>
        <w:instrText xml:space="preserve"> HYPERLINK "https://www.planalto.gov.br/ccivil_03/leis/l6404consol.htm" \h </w:instrText>
      </w:r>
      <w:r>
        <w:fldChar w:fldCharType="separate"/>
      </w:r>
      <w:r>
        <w:rPr>
          <w:rStyle w:val="54"/>
          <w:sz w:val="22"/>
          <w:szCs w:val="22"/>
        </w:rPr>
        <w:t>Lei Federal nº 6.404, de 1976</w:t>
      </w:r>
      <w:r>
        <w:rPr>
          <w:rStyle w:val="54"/>
          <w:sz w:val="22"/>
          <w:szCs w:val="22"/>
        </w:rPr>
        <w:fldChar w:fldCharType="end"/>
      </w:r>
      <w:r>
        <w:rPr>
          <w:rStyle w:val="45"/>
          <w:color w:val="000000"/>
          <w:sz w:val="22"/>
          <w:szCs w:val="22"/>
        </w:rPr>
        <w:t>, concorrendo entre si; (</w:t>
      </w:r>
      <w:r>
        <w:fldChar w:fldCharType="begin"/>
      </w:r>
      <w:r>
        <w:rPr>
          <w:rStyle w:val="54"/>
          <w:sz w:val="22"/>
          <w:szCs w:val="22"/>
        </w:rPr>
        <w:instrText xml:space="preserve"> HYPERLINK "https://www.planalto.gov.br/ccivil_03/_ato2019-2022/2021/lei/l14133.htm" \l "art14"</w:instrText>
      </w:r>
      <w:r>
        <w:rPr>
          <w:rStyle w:val="54"/>
          <w:sz w:val="22"/>
          <w:szCs w:val="22"/>
        </w:rPr>
        <w:fldChar w:fldCharType="separate"/>
      </w:r>
      <w:r>
        <w:rPr>
          <w:rStyle w:val="54"/>
          <w:sz w:val="22"/>
          <w:szCs w:val="22"/>
        </w:rPr>
        <w:t>art. 14, V, da Lei Federal nº 14.133, de 2021</w:t>
      </w:r>
      <w:r>
        <w:rPr>
          <w:rStyle w:val="54"/>
          <w:sz w:val="22"/>
          <w:szCs w:val="22"/>
        </w:rPr>
        <w:fldChar w:fldCharType="end"/>
      </w:r>
      <w:r>
        <w:rPr>
          <w:rStyle w:val="45"/>
          <w:color w:val="000000"/>
          <w:sz w:val="22"/>
          <w:szCs w:val="22"/>
        </w:rPr>
        <w:t>);</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r>
        <w:fldChar w:fldCharType="begin"/>
      </w:r>
      <w:r>
        <w:rPr>
          <w:rStyle w:val="54"/>
          <w:sz w:val="22"/>
          <w:szCs w:val="22"/>
        </w:rPr>
        <w:instrText xml:space="preserve"> HYPERLINK "https://www.planalto.gov.br/ccivil_03/_ato2019-2022/2021/lei/l14133.htm" \l "art14"</w:instrText>
      </w:r>
      <w:r>
        <w:rPr>
          <w:rStyle w:val="54"/>
          <w:sz w:val="22"/>
          <w:szCs w:val="22"/>
        </w:rPr>
        <w:fldChar w:fldCharType="separate"/>
      </w:r>
      <w:r>
        <w:rPr>
          <w:rStyle w:val="54"/>
          <w:sz w:val="22"/>
          <w:szCs w:val="22"/>
        </w:rPr>
        <w:t>art. 14, VI, da Lei Federal nº 14.133, de 2021</w:t>
      </w:r>
      <w:r>
        <w:rPr>
          <w:rStyle w:val="54"/>
          <w:sz w:val="22"/>
          <w:szCs w:val="22"/>
        </w:rPr>
        <w:fldChar w:fldCharType="end"/>
      </w:r>
      <w:r>
        <w:rPr>
          <w:rStyle w:val="45"/>
          <w:color w:val="000000"/>
          <w:sz w:val="22"/>
          <w:szCs w:val="22"/>
        </w:rPr>
        <w:t>);</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Organizações da Sociedade Civil de Interesse Público - OSCIP, atuando nessa condição (</w:t>
      </w:r>
      <w:r>
        <w:fldChar w:fldCharType="begin"/>
      </w:r>
      <w:r>
        <w:instrText xml:space="preserve"> HYPERLINK "https://pesquisa.apps.tcu.gov.br/documento/acordao-completo/*/KEY%253AACORDAO-COMPLETO-1302349/DTRELEVANCIA%2520desc/0/sinonimos%253Dfalse" \h </w:instrText>
      </w:r>
      <w:r>
        <w:fldChar w:fldCharType="separate"/>
      </w:r>
      <w:r>
        <w:rPr>
          <w:rStyle w:val="54"/>
          <w:sz w:val="22"/>
          <w:szCs w:val="22"/>
        </w:rPr>
        <w:t>Acórdão nº 746/2014-TCU-Plenário</w:t>
      </w:r>
      <w:r>
        <w:rPr>
          <w:rStyle w:val="54"/>
          <w:sz w:val="22"/>
          <w:szCs w:val="22"/>
        </w:rPr>
        <w:fldChar w:fldCharType="end"/>
      </w:r>
      <w:r>
        <w:rPr>
          <w:rStyle w:val="45"/>
          <w:color w:val="000000"/>
          <w:sz w:val="22"/>
          <w:szCs w:val="22"/>
        </w:rPr>
        <w:t>);</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 xml:space="preserve">aqueles que se enquadrem nas demais vedações do </w:t>
      </w:r>
      <w:r>
        <w:fldChar w:fldCharType="begin"/>
      </w:r>
      <w:r>
        <w:rPr>
          <w:rStyle w:val="54"/>
          <w:sz w:val="22"/>
          <w:szCs w:val="22"/>
        </w:rPr>
        <w:instrText xml:space="preserve"> HYPERLINK "https://www.planalto.gov.br/ccivil_03/_ato2019-2022/2021/lei/l14133.htm" \l "art14"</w:instrText>
      </w:r>
      <w:r>
        <w:rPr>
          <w:rStyle w:val="54"/>
          <w:sz w:val="22"/>
          <w:szCs w:val="22"/>
        </w:rPr>
        <w:fldChar w:fldCharType="separate"/>
      </w:r>
      <w:r>
        <w:rPr>
          <w:rStyle w:val="54"/>
          <w:sz w:val="22"/>
          <w:szCs w:val="22"/>
        </w:rPr>
        <w:t xml:space="preserve">art. 14 da Lei Federal nº 14.133, de </w:t>
      </w:r>
      <w:r>
        <w:rPr>
          <w:rStyle w:val="54"/>
          <w:sz w:val="22"/>
          <w:szCs w:val="22"/>
        </w:rPr>
        <w:fldChar w:fldCharType="end"/>
      </w:r>
      <w:r>
        <w:rPr>
          <w:rStyle w:val="54"/>
          <w:sz w:val="22"/>
          <w:szCs w:val="22"/>
        </w:rPr>
        <w:t>2021</w:t>
      </w:r>
      <w:r>
        <w:rPr>
          <w:rStyle w:val="45"/>
          <w:color w:val="000000"/>
          <w:sz w:val="22"/>
          <w:szCs w:val="22"/>
        </w:rPr>
        <w:t>.</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 xml:space="preserve">A verificação dos impedimentos e condições de participação ocorrerá somente após a fase competitiva do certame, momento no qual o </w:t>
      </w:r>
      <w:r>
        <w:rPr>
          <w:sz w:val="22"/>
          <w:szCs w:val="22"/>
        </w:rPr>
        <w:t>Portal Licitanet (</w:t>
      </w:r>
      <w:r>
        <w:fldChar w:fldCharType="begin"/>
      </w:r>
      <w:r>
        <w:instrText xml:space="preserve"> HYPERLINK "https://www.licitanet.com.br/" \h </w:instrText>
      </w:r>
      <w:r>
        <w:fldChar w:fldCharType="separate"/>
      </w:r>
      <w:r>
        <w:rPr>
          <w:rStyle w:val="54"/>
          <w:sz w:val="22"/>
          <w:szCs w:val="22"/>
        </w:rPr>
        <w:t>https://www.licitanet.com.br/</w:t>
      </w:r>
      <w:r>
        <w:rPr>
          <w:rStyle w:val="54"/>
          <w:sz w:val="22"/>
          <w:szCs w:val="22"/>
        </w:rPr>
        <w:fldChar w:fldCharType="end"/>
      </w:r>
      <w:r>
        <w:rPr>
          <w:rStyle w:val="45"/>
          <w:color w:val="000000"/>
          <w:sz w:val="22"/>
          <w:szCs w:val="22"/>
        </w:rPr>
        <w:t>) permite a identificação dos participantes do certame licitatório.</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 xml:space="preserve">Encerrada a fase de lances, o  </w:t>
      </w:r>
      <w:r>
        <w:rPr>
          <w:sz w:val="22"/>
          <w:szCs w:val="22"/>
        </w:rPr>
        <w:t>Pregoeiro</w:t>
      </w:r>
      <w:r>
        <w:rPr>
          <w:rStyle w:val="45"/>
          <w:color w:val="000000"/>
          <w:sz w:val="22"/>
          <w:szCs w:val="22"/>
        </w:rPr>
        <w:t xml:space="preserve"> fará consulta aos cadastros oficiais: Cadastro Nacional de Condenados por Ato de Improbidade Administrativa e por Ato que Implique em Inelegibilidade - CNCIAI, Cadastro Nacional de Empresas Inidôneas e Suspensas (CEIS), Cadastro Nacional de Empresas Punidas - Cnep e Cadastro de Inidôneos do TCU ou qualquer outro que venha ser implantado e ainda no </w:t>
      </w:r>
      <w:r>
        <w:rPr>
          <w:rStyle w:val="45"/>
          <w:sz w:val="22"/>
          <w:szCs w:val="22"/>
        </w:rPr>
        <w:t>cadastro unificado de licitantes (</w:t>
      </w:r>
      <w:r>
        <w:fldChar w:fldCharType="begin"/>
      </w:r>
      <w:r>
        <w:rPr>
          <w:rStyle w:val="54"/>
          <w:sz w:val="22"/>
          <w:szCs w:val="22"/>
        </w:rPr>
        <w:instrText xml:space="preserve"> HYPERLINK "https://www.planalto.gov.br/ccivil_03/_ato2019-2022/2021/lei/l14133.htm" \l "art87"</w:instrText>
      </w:r>
      <w:r>
        <w:rPr>
          <w:rStyle w:val="54"/>
          <w:sz w:val="22"/>
          <w:szCs w:val="22"/>
        </w:rPr>
        <w:fldChar w:fldCharType="separate"/>
      </w:r>
      <w:r>
        <w:rPr>
          <w:rStyle w:val="54"/>
          <w:sz w:val="22"/>
          <w:szCs w:val="22"/>
        </w:rPr>
        <w:t>art. 87 da Lei Federal nº 14.133, de 2021</w:t>
      </w:r>
      <w:r>
        <w:rPr>
          <w:rStyle w:val="54"/>
          <w:sz w:val="22"/>
          <w:szCs w:val="22"/>
        </w:rPr>
        <w:fldChar w:fldCharType="end"/>
      </w:r>
      <w:r>
        <w:rPr>
          <w:rStyle w:val="45"/>
          <w:sz w:val="22"/>
          <w:szCs w:val="22"/>
        </w:rPr>
        <w:t>)</w:t>
      </w:r>
      <w:r>
        <w:rPr>
          <w:rStyle w:val="45"/>
          <w:color w:val="000000"/>
          <w:sz w:val="22"/>
          <w:szCs w:val="22"/>
        </w:rPr>
        <w:t>, bem como na “lista suja” de empregadores flagrados explorando trabalhadores em condições análogas às de escravo emitida pelo Ministério do Trabalho e Previdência, a fim de verificar se a licitante se enquadra em qualquer vedação prevista neste edital.</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Havendo qualquer impedimento, a licitante será, automaticamente, excluída da licitação, sem prejuízo das sanções previstas neste edital e em lei.</w:t>
      </w:r>
    </w:p>
    <w:p>
      <w:pPr>
        <w:pStyle w:val="2"/>
        <w:spacing w:before="360" w:after="0"/>
      </w:pPr>
      <w:bookmarkStart w:id="7" w:name="_CONSÓRCIO"/>
      <w:bookmarkEnd w:id="7"/>
      <w:bookmarkStart w:id="8" w:name="_Toc149517433"/>
      <w:r>
        <w:rPr>
          <w:rStyle w:val="45"/>
          <w:sz w:val="22"/>
          <w:szCs w:val="22"/>
        </w:rPr>
        <w:t>CONSÓRCIO</w:t>
      </w:r>
      <w:bookmarkEnd w:id="8"/>
    </w:p>
    <w:p>
      <w:pPr>
        <w:pStyle w:val="3"/>
        <w:numPr>
          <w:ilvl w:val="1"/>
          <w:numId w:val="1"/>
        </w:numPr>
        <w:tabs>
          <w:tab w:val="left" w:pos="1134"/>
        </w:tabs>
        <w:spacing w:before="120" w:beforeAutospacing="0" w:after="0" w:afterAutospacing="0"/>
        <w:ind w:left="0" w:firstLine="567"/>
        <w:jc w:val="both"/>
        <w:textAlignment w:val="baseline"/>
      </w:pPr>
      <w:r>
        <w:rPr>
          <w:sz w:val="22"/>
          <w:szCs w:val="22"/>
        </w:rPr>
        <w:t xml:space="preserve">Nos termos do </w:t>
      </w:r>
      <w:r>
        <w:fldChar w:fldCharType="begin"/>
      </w:r>
      <w:r>
        <w:rPr>
          <w:rStyle w:val="54"/>
          <w:sz w:val="22"/>
          <w:szCs w:val="22"/>
        </w:rPr>
        <w:instrText xml:space="preserve"> HYPERLINK "https://www.planalto.gov.br/ccivil_03/_ato2019-2022/2021/lei/l14133.htm" \l "art15"</w:instrText>
      </w:r>
      <w:r>
        <w:rPr>
          <w:rStyle w:val="54"/>
          <w:sz w:val="22"/>
          <w:szCs w:val="22"/>
        </w:rPr>
        <w:fldChar w:fldCharType="separate"/>
      </w:r>
      <w:r>
        <w:rPr>
          <w:rStyle w:val="54"/>
          <w:sz w:val="22"/>
          <w:szCs w:val="22"/>
        </w:rPr>
        <w:t>art. 15 da Lei Federal nº 14.133, de 2021</w:t>
      </w:r>
      <w:r>
        <w:rPr>
          <w:rStyle w:val="54"/>
          <w:sz w:val="22"/>
          <w:szCs w:val="22"/>
        </w:rPr>
        <w:fldChar w:fldCharType="end"/>
      </w:r>
      <w:r>
        <w:rPr>
          <w:sz w:val="22"/>
          <w:szCs w:val="22"/>
        </w:rPr>
        <w:t>, pessoa jurídica poderá participar de licitação em consórcio, observadas as seguintes normas:</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sz w:val="22"/>
          <w:szCs w:val="22"/>
        </w:rPr>
        <w:t>Comprovação de compromisso público ou particular de constituição de consórcio, subscrito pelos consorciados;</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sz w:val="22"/>
          <w:szCs w:val="22"/>
        </w:rPr>
        <w:t>Indicação da empresa líder do consórcio, que será responsável por sua representação perante a Administração;</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sz w:val="22"/>
          <w:szCs w:val="22"/>
        </w:rPr>
        <w:t>Admissão, para efeito de habilitação técnica, do somatório dos quantitativos de cada consorciado e, para efeito de habilitação econômico-financeira, do somatório dos valores de cada consorciado;</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sz w:val="22"/>
          <w:szCs w:val="22"/>
        </w:rPr>
        <w:t>Impedimento de a empresa consorciada participar, na mesma licitação, de mais de um consórcio ou de forma isolada;</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sz w:val="22"/>
          <w:szCs w:val="22"/>
        </w:rPr>
        <w:t>Responsabilidade solidária dos integrantes pelos atos praticados em consórcio, tanto na fase de licitação quanto na de execução do contrato.</w:t>
      </w:r>
    </w:p>
    <w:p>
      <w:pPr>
        <w:pStyle w:val="3"/>
        <w:numPr>
          <w:ilvl w:val="1"/>
          <w:numId w:val="1"/>
        </w:numPr>
        <w:tabs>
          <w:tab w:val="left" w:pos="1134"/>
        </w:tabs>
        <w:spacing w:before="0" w:beforeAutospacing="0" w:after="0" w:afterAutospacing="0"/>
        <w:ind w:left="0" w:firstLine="567"/>
        <w:jc w:val="both"/>
        <w:textAlignment w:val="baseline"/>
      </w:pPr>
      <w:r>
        <w:rPr>
          <w:sz w:val="22"/>
          <w:szCs w:val="22"/>
        </w:rPr>
        <w:t xml:space="preserve">O licitante vencedor é obrigado a promover, antes da celebração da ata de registro de preços, a constituição e o registro do consórcio, nos termos do compromisso referido no </w:t>
      </w:r>
      <w:r>
        <w:fldChar w:fldCharType="begin"/>
      </w:r>
      <w:r>
        <w:rPr>
          <w:rStyle w:val="54"/>
          <w:sz w:val="22"/>
          <w:szCs w:val="22"/>
        </w:rPr>
        <w:instrText xml:space="preserve"> HYPERLINK "https://www.planalto.gov.br/ccivil_03/_ato2019-2022/2021/lei/l14133.htm" \l "art15"</w:instrText>
      </w:r>
      <w:r>
        <w:rPr>
          <w:rStyle w:val="54"/>
          <w:sz w:val="22"/>
          <w:szCs w:val="22"/>
        </w:rPr>
        <w:fldChar w:fldCharType="separate"/>
      </w:r>
      <w:r>
        <w:rPr>
          <w:rStyle w:val="54"/>
          <w:sz w:val="22"/>
          <w:szCs w:val="22"/>
        </w:rPr>
        <w:t>art. 15, I, da Lei Federal nº 14.133, de 2021</w:t>
      </w:r>
      <w:r>
        <w:rPr>
          <w:rStyle w:val="54"/>
          <w:sz w:val="22"/>
          <w:szCs w:val="22"/>
        </w:rPr>
        <w:fldChar w:fldCharType="end"/>
      </w:r>
      <w:r>
        <w:rPr>
          <w:sz w:val="22"/>
          <w:szCs w:val="22"/>
        </w:rPr>
        <w:t>. (</w:t>
      </w:r>
      <w:r>
        <w:fldChar w:fldCharType="begin"/>
      </w:r>
      <w:r>
        <w:rPr>
          <w:rStyle w:val="54"/>
          <w:sz w:val="22"/>
          <w:szCs w:val="22"/>
        </w:rPr>
        <w:instrText xml:space="preserve"> HYPERLINK "https://www.planalto.gov.br/ccivil_03/_ato2019-2022/2021/lei/l14133.htm" \l "art15"</w:instrText>
      </w:r>
      <w:r>
        <w:rPr>
          <w:rStyle w:val="54"/>
          <w:sz w:val="22"/>
          <w:szCs w:val="22"/>
        </w:rPr>
        <w:fldChar w:fldCharType="separate"/>
      </w:r>
      <w:r>
        <w:rPr>
          <w:rStyle w:val="54"/>
          <w:sz w:val="22"/>
          <w:szCs w:val="22"/>
        </w:rPr>
        <w:t>art. 15, §3º, da Lei Federal nº 14.133, de 2021</w:t>
      </w:r>
      <w:r>
        <w:rPr>
          <w:rStyle w:val="54"/>
          <w:sz w:val="22"/>
          <w:szCs w:val="22"/>
        </w:rPr>
        <w:fldChar w:fldCharType="end"/>
      </w:r>
      <w:r>
        <w:rPr>
          <w:sz w:val="22"/>
          <w:szCs w:val="22"/>
        </w:rPr>
        <w:t>)</w:t>
      </w:r>
    </w:p>
    <w:p>
      <w:pPr>
        <w:pStyle w:val="3"/>
        <w:numPr>
          <w:ilvl w:val="1"/>
          <w:numId w:val="1"/>
        </w:numPr>
        <w:tabs>
          <w:tab w:val="left" w:pos="1134"/>
        </w:tabs>
        <w:spacing w:before="0" w:beforeAutospacing="0" w:after="0" w:afterAutospacing="0"/>
        <w:ind w:left="0" w:firstLine="567"/>
        <w:jc w:val="both"/>
        <w:textAlignment w:val="baseline"/>
      </w:pPr>
      <w:r>
        <w:rPr>
          <w:sz w:val="22"/>
          <w:szCs w:val="22"/>
        </w:rPr>
        <w:t xml:space="preserve">A substituição de consorciado deverá ser expressamente autorizada pela </w:t>
      </w:r>
      <w:r>
        <w:rPr>
          <w:rStyle w:val="45"/>
          <w:color w:val="000000"/>
          <w:sz w:val="22"/>
          <w:szCs w:val="22"/>
        </w:rPr>
        <w:t>Câmara Municipal de Primavera do Leste - MT</w:t>
      </w:r>
      <w:r>
        <w:rPr>
          <w:sz w:val="22"/>
          <w:szCs w:val="22"/>
        </w:rPr>
        <w:t xml:space="preserve"> e condicionada à comprovação de que a nova empresa do consórcio possui, no mínimo, os mesmos quantitativos para efeito de habilitação técnicas apresentadas pela empresa substituída para fins de habilitação do consórcio no processo licitatório que originou o contrato. (</w:t>
      </w:r>
      <w:r>
        <w:fldChar w:fldCharType="begin"/>
      </w:r>
      <w:r>
        <w:rPr>
          <w:rStyle w:val="54"/>
          <w:sz w:val="22"/>
          <w:szCs w:val="22"/>
        </w:rPr>
        <w:instrText xml:space="preserve"> HYPERLINK "https://www.planalto.gov.br/ccivil_03/_ato2019-2022/2021/lei/l14133.htm" \l "art15"</w:instrText>
      </w:r>
      <w:r>
        <w:rPr>
          <w:rStyle w:val="54"/>
          <w:sz w:val="22"/>
          <w:szCs w:val="22"/>
        </w:rPr>
        <w:fldChar w:fldCharType="separate"/>
      </w:r>
      <w:r>
        <w:rPr>
          <w:rStyle w:val="54"/>
          <w:sz w:val="22"/>
          <w:szCs w:val="22"/>
        </w:rPr>
        <w:t>art. 15, §5º, da Lei Federal nº 14.133, de 2021</w:t>
      </w:r>
      <w:r>
        <w:rPr>
          <w:rStyle w:val="54"/>
          <w:sz w:val="22"/>
          <w:szCs w:val="22"/>
        </w:rPr>
        <w:fldChar w:fldCharType="end"/>
      </w:r>
      <w:r>
        <w:rPr>
          <w:sz w:val="22"/>
          <w:szCs w:val="22"/>
        </w:rPr>
        <w:t>).</w:t>
      </w:r>
    </w:p>
    <w:p>
      <w:pPr>
        <w:pStyle w:val="3"/>
        <w:numPr>
          <w:ilvl w:val="0"/>
          <w:numId w:val="0"/>
        </w:numPr>
        <w:tabs>
          <w:tab w:val="left" w:pos="1134"/>
        </w:tabs>
        <w:spacing w:before="0" w:beforeAutospacing="0" w:after="0" w:afterAutospacing="0"/>
        <w:ind w:left="0" w:firstLine="0"/>
        <w:jc w:val="both"/>
        <w:textAlignment w:val="baseline"/>
        <w:rPr>
          <w:sz w:val="22"/>
          <w:szCs w:val="22"/>
        </w:rPr>
      </w:pPr>
    </w:p>
    <w:p>
      <w:pPr>
        <w:pStyle w:val="2"/>
        <w:spacing w:before="360" w:after="0"/>
      </w:pPr>
      <w:bookmarkStart w:id="9" w:name="_Toc149517434"/>
      <w:r>
        <w:rPr>
          <w:rStyle w:val="45"/>
        </w:rPr>
        <w:t>COOPERATIVA</w:t>
      </w:r>
      <w:bookmarkEnd w:id="9"/>
    </w:p>
    <w:p>
      <w:pPr>
        <w:pStyle w:val="3"/>
        <w:numPr>
          <w:ilvl w:val="1"/>
          <w:numId w:val="1"/>
        </w:numPr>
        <w:tabs>
          <w:tab w:val="left" w:pos="1134"/>
        </w:tabs>
        <w:spacing w:before="120" w:beforeAutospacing="0" w:after="0" w:afterAutospacing="0"/>
        <w:ind w:left="0" w:firstLine="567"/>
        <w:jc w:val="both"/>
        <w:textAlignment w:val="baseline"/>
      </w:pPr>
      <w:r>
        <w:rPr>
          <w:sz w:val="22"/>
          <w:szCs w:val="22"/>
        </w:rPr>
        <w:t xml:space="preserve">Nos termos do </w:t>
      </w:r>
      <w:r>
        <w:fldChar w:fldCharType="begin"/>
      </w:r>
      <w:r>
        <w:rPr>
          <w:rStyle w:val="54"/>
          <w:sz w:val="22"/>
          <w:szCs w:val="22"/>
        </w:rPr>
        <w:instrText xml:space="preserve"> HYPERLINK "https://www.planalto.gov.br/ccivil_03/_ato2019-2022/2021/lei/l14133.htm" \l "art16"</w:instrText>
      </w:r>
      <w:r>
        <w:rPr>
          <w:rStyle w:val="54"/>
          <w:sz w:val="22"/>
          <w:szCs w:val="22"/>
        </w:rPr>
        <w:fldChar w:fldCharType="separate"/>
      </w:r>
      <w:r>
        <w:rPr>
          <w:rStyle w:val="54"/>
          <w:sz w:val="22"/>
          <w:szCs w:val="22"/>
        </w:rPr>
        <w:t>art. 16 da Lei Federal nº 14.133, de 2021</w:t>
      </w:r>
      <w:r>
        <w:rPr>
          <w:rStyle w:val="54"/>
          <w:sz w:val="22"/>
          <w:szCs w:val="22"/>
        </w:rPr>
        <w:fldChar w:fldCharType="end"/>
      </w:r>
      <w:r>
        <w:rPr>
          <w:sz w:val="22"/>
          <w:szCs w:val="22"/>
        </w:rPr>
        <w:t>, pessoa jurídica organizada em forma de cooperativa poderá participar da licitação quando:</w:t>
      </w:r>
    </w:p>
    <w:p>
      <w:pPr>
        <w:pStyle w:val="3"/>
        <w:numPr>
          <w:ilvl w:val="2"/>
          <w:numId w:val="1"/>
        </w:numPr>
        <w:tabs>
          <w:tab w:val="left" w:pos="1134"/>
        </w:tabs>
        <w:spacing w:before="0" w:beforeAutospacing="0" w:after="0" w:afterAutospacing="0"/>
        <w:jc w:val="both"/>
        <w:textAlignment w:val="baseline"/>
      </w:pPr>
      <w:r>
        <w:rPr>
          <w:color w:val="000000"/>
          <w:sz w:val="22"/>
          <w:szCs w:val="22"/>
        </w:rPr>
        <w:t xml:space="preserve">a constituição e o funcionamento da cooperativa observarem as regras estabelecidas na legislação aplicável, em especial a </w:t>
      </w:r>
      <w:r>
        <w:fldChar w:fldCharType="begin"/>
      </w:r>
      <w:r>
        <w:instrText xml:space="preserve"> HYPERLINK "https://www.planalto.gov.br/ccivil_03/LEIS/L5764.HTM" \h </w:instrText>
      </w:r>
      <w:r>
        <w:fldChar w:fldCharType="separate"/>
      </w:r>
      <w:r>
        <w:rPr>
          <w:rStyle w:val="54"/>
          <w:sz w:val="22"/>
          <w:szCs w:val="22"/>
        </w:rPr>
        <w:t>Lei Federal nº 5.764, de 1971</w:t>
      </w:r>
      <w:r>
        <w:rPr>
          <w:rStyle w:val="54"/>
          <w:sz w:val="22"/>
          <w:szCs w:val="22"/>
        </w:rPr>
        <w:fldChar w:fldCharType="end"/>
      </w:r>
      <w:r>
        <w:rPr>
          <w:color w:val="000000"/>
          <w:sz w:val="22"/>
          <w:szCs w:val="22"/>
        </w:rPr>
        <w:t xml:space="preserve">, a </w:t>
      </w:r>
      <w:r>
        <w:fldChar w:fldCharType="begin"/>
      </w:r>
      <w:r>
        <w:instrText xml:space="preserve"> HYPERLINK "https://www.planalto.gov.br/ccivil_03/_Ato2011-2014/2012/Lei/L12690.htm" \h </w:instrText>
      </w:r>
      <w:r>
        <w:fldChar w:fldCharType="separate"/>
      </w:r>
      <w:r>
        <w:rPr>
          <w:rStyle w:val="54"/>
          <w:sz w:val="22"/>
          <w:szCs w:val="22"/>
        </w:rPr>
        <w:t>Lei Federal nº 12.690, de 2012</w:t>
      </w:r>
      <w:r>
        <w:rPr>
          <w:rStyle w:val="54"/>
          <w:sz w:val="22"/>
          <w:szCs w:val="22"/>
        </w:rPr>
        <w:fldChar w:fldCharType="end"/>
      </w:r>
      <w:r>
        <w:rPr>
          <w:color w:val="000000"/>
          <w:sz w:val="22"/>
          <w:szCs w:val="22"/>
        </w:rPr>
        <w:t xml:space="preserve">, e a </w:t>
      </w:r>
      <w:r>
        <w:fldChar w:fldCharType="begin"/>
      </w:r>
      <w:r>
        <w:instrText xml:space="preserve"> HYPERLINK "https://www.planalto.gov.br/ccivil_03/LEIS/LCP/Lcp130.htm" \h </w:instrText>
      </w:r>
      <w:r>
        <w:fldChar w:fldCharType="separate"/>
      </w:r>
      <w:r>
        <w:rPr>
          <w:rStyle w:val="54"/>
          <w:sz w:val="22"/>
          <w:szCs w:val="22"/>
        </w:rPr>
        <w:t>Lei Complementar Federal nº 130, de 2009;</w:t>
      </w:r>
      <w:r>
        <w:rPr>
          <w:rStyle w:val="54"/>
          <w:sz w:val="22"/>
          <w:szCs w:val="22"/>
        </w:rPr>
        <w:fldChar w:fldCharType="end"/>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sz w:val="22"/>
          <w:szCs w:val="22"/>
        </w:rPr>
        <w:t>a cooperativa apresentar demonstrativo de atuação em regime cooperado, com repartição de receitas e despesas entre os cooperados;</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sz w:val="22"/>
          <w:szCs w:val="22"/>
        </w:rPr>
        <w:t>qualquer cooperado, com igual qualificação, for capaz de executar o objeto contratado, vedado à Administração indicar nominalmente pessoas;</w:t>
      </w:r>
    </w:p>
    <w:p>
      <w:pPr>
        <w:pStyle w:val="3"/>
        <w:numPr>
          <w:ilvl w:val="2"/>
          <w:numId w:val="1"/>
        </w:numPr>
        <w:tabs>
          <w:tab w:val="left" w:pos="1134"/>
        </w:tabs>
        <w:spacing w:before="0" w:beforeAutospacing="0" w:after="0" w:afterAutospacing="0"/>
        <w:jc w:val="both"/>
        <w:textAlignment w:val="baseline"/>
      </w:pPr>
      <w:r>
        <w:rPr>
          <w:color w:val="000000"/>
          <w:sz w:val="22"/>
          <w:szCs w:val="22"/>
        </w:rPr>
        <w:t xml:space="preserve">o objeto da licitação referir-se, em se tratando de cooperativas enquadradas na </w:t>
      </w:r>
      <w:r>
        <w:fldChar w:fldCharType="begin"/>
      </w:r>
      <w:r>
        <w:instrText xml:space="preserve"> HYPERLINK "https://www.planalto.gov.br/ccivil_03/_Ato2011-2014/2012/Lei/L12690.htm" \h </w:instrText>
      </w:r>
      <w:r>
        <w:fldChar w:fldCharType="separate"/>
      </w:r>
      <w:r>
        <w:rPr>
          <w:rStyle w:val="54"/>
          <w:sz w:val="22"/>
          <w:szCs w:val="22"/>
        </w:rPr>
        <w:t>Lei Federal nº 12.690, de 2012</w:t>
      </w:r>
      <w:r>
        <w:rPr>
          <w:rStyle w:val="54"/>
          <w:sz w:val="22"/>
          <w:szCs w:val="22"/>
        </w:rPr>
        <w:fldChar w:fldCharType="end"/>
      </w:r>
      <w:r>
        <w:rPr>
          <w:color w:val="000000"/>
          <w:sz w:val="22"/>
          <w:szCs w:val="22"/>
        </w:rPr>
        <w:t>, a serviços especializados constantes do objeto social da cooperativa, a serem executados de forma complementar à sua atuação.</w:t>
      </w:r>
    </w:p>
    <w:p>
      <w:pPr>
        <w:pStyle w:val="3"/>
        <w:numPr>
          <w:ilvl w:val="1"/>
          <w:numId w:val="1"/>
        </w:numPr>
        <w:tabs>
          <w:tab w:val="left" w:pos="1134"/>
        </w:tabs>
        <w:spacing w:before="0" w:beforeAutospacing="0" w:after="0" w:afterAutospacing="0"/>
        <w:ind w:left="0" w:firstLine="567"/>
        <w:jc w:val="both"/>
        <w:textAlignment w:val="baseline"/>
      </w:pPr>
      <w:r>
        <w:rPr>
          <w:sz w:val="22"/>
          <w:szCs w:val="22"/>
        </w:rPr>
        <w:t xml:space="preserve">O licitante organizado em cooperativa deverá declarar, ainda, em campo próprio do sistema eletrônico, que cumpre os requisitos estabelecidos no </w:t>
      </w:r>
      <w:r>
        <w:fldChar w:fldCharType="begin"/>
      </w:r>
      <w:r>
        <w:rPr>
          <w:rStyle w:val="54"/>
          <w:sz w:val="22"/>
          <w:szCs w:val="22"/>
        </w:rPr>
        <w:instrText xml:space="preserve"> HYPERLINK "http://www.planalto.gov.br/ccivil_03/_ato2019-2022/2021/lei/L14133.htm" \l "art16"</w:instrText>
      </w:r>
      <w:r>
        <w:rPr>
          <w:rStyle w:val="54"/>
          <w:sz w:val="22"/>
          <w:szCs w:val="22"/>
        </w:rPr>
        <w:fldChar w:fldCharType="separate"/>
      </w:r>
      <w:r>
        <w:rPr>
          <w:rStyle w:val="54"/>
          <w:sz w:val="22"/>
          <w:szCs w:val="22"/>
        </w:rPr>
        <w:t>art. 16 da Lei Federal nº 14.133, de 2021</w:t>
      </w:r>
      <w:r>
        <w:rPr>
          <w:rStyle w:val="54"/>
          <w:sz w:val="22"/>
          <w:szCs w:val="22"/>
        </w:rPr>
        <w:fldChar w:fldCharType="end"/>
      </w:r>
      <w:r>
        <w:rPr>
          <w:sz w:val="22"/>
          <w:szCs w:val="22"/>
        </w:rPr>
        <w:t>.</w:t>
      </w:r>
    </w:p>
    <w:p>
      <w:pPr>
        <w:pStyle w:val="2"/>
        <w:spacing w:before="360" w:after="0"/>
      </w:pPr>
      <w:bookmarkStart w:id="10" w:name="_Toc149517435"/>
      <w:r>
        <w:rPr>
          <w:rStyle w:val="45"/>
          <w:sz w:val="22"/>
          <w:szCs w:val="22"/>
        </w:rPr>
        <w:t>IMPUGNAÇÃO E ESCLARECIMENTOS</w:t>
      </w:r>
      <w:bookmarkEnd w:id="10"/>
    </w:p>
    <w:p>
      <w:pPr>
        <w:pStyle w:val="3"/>
        <w:numPr>
          <w:ilvl w:val="1"/>
          <w:numId w:val="1"/>
        </w:numPr>
        <w:tabs>
          <w:tab w:val="left" w:pos="1134"/>
        </w:tabs>
        <w:spacing w:before="120" w:beforeAutospacing="0" w:after="0" w:afterAutospacing="0"/>
        <w:ind w:left="0" w:firstLine="567"/>
        <w:jc w:val="both"/>
        <w:textAlignment w:val="baseline"/>
      </w:pPr>
      <w:r>
        <w:rPr>
          <w:rStyle w:val="45"/>
          <w:color w:val="000000" w:themeColor="text1"/>
          <w:sz w:val="22"/>
          <w:szCs w:val="22"/>
        </w:rPr>
        <w:t>Qualquer</w:t>
      </w:r>
      <w:r>
        <w:rPr>
          <w:color w:val="000000"/>
          <w:sz w:val="22"/>
          <w:szCs w:val="22"/>
        </w:rPr>
        <w:t xml:space="preserve"> pessoa, física ou jurídica, é parte legítima para impugnar edital de licitação por irregularidade na aplicação desta Lei ou para solicitar esclarecimento sobre os seus termos, devendo protocolar o pedido até 3 (três) dias úteis antes da data de abertura do certame (</w:t>
      </w:r>
      <w:r>
        <w:fldChar w:fldCharType="begin"/>
      </w:r>
      <w:r>
        <w:rPr>
          <w:rStyle w:val="54"/>
          <w:sz w:val="22"/>
          <w:szCs w:val="22"/>
        </w:rPr>
        <w:instrText xml:space="preserve"> HYPERLINK "https://www.planalto.gov.br/ccivil_03/_ato2019-2022/2021/lei/l14133.htm" \l "art164"</w:instrText>
      </w:r>
      <w:r>
        <w:rPr>
          <w:rStyle w:val="54"/>
          <w:sz w:val="22"/>
          <w:szCs w:val="22"/>
        </w:rPr>
        <w:fldChar w:fldCharType="separate"/>
      </w:r>
      <w:r>
        <w:rPr>
          <w:rStyle w:val="54"/>
          <w:sz w:val="22"/>
          <w:szCs w:val="22"/>
        </w:rPr>
        <w:t xml:space="preserve">art. 164, </w:t>
      </w:r>
      <w:r>
        <w:rPr>
          <w:rStyle w:val="54"/>
          <w:sz w:val="22"/>
          <w:szCs w:val="22"/>
        </w:rPr>
        <w:fldChar w:fldCharType="end"/>
      </w:r>
      <w:r>
        <w:rPr>
          <w:rStyle w:val="54"/>
          <w:i/>
          <w:iCs/>
          <w:sz w:val="22"/>
          <w:szCs w:val="22"/>
        </w:rPr>
        <w:t>caput</w:t>
      </w:r>
      <w:r>
        <w:rPr>
          <w:rStyle w:val="54"/>
          <w:sz w:val="22"/>
          <w:szCs w:val="22"/>
        </w:rPr>
        <w:t>, da Lei Federal nº 14.133, de 2021</w:t>
      </w:r>
      <w:r>
        <w:rPr>
          <w:color w:val="000000"/>
          <w:sz w:val="22"/>
          <w:szCs w:val="22"/>
        </w:rPr>
        <w:t>).</w:t>
      </w:r>
    </w:p>
    <w:p>
      <w:pPr>
        <w:pStyle w:val="3"/>
        <w:numPr>
          <w:ilvl w:val="1"/>
          <w:numId w:val="1"/>
        </w:numPr>
        <w:tabs>
          <w:tab w:val="left" w:pos="1134"/>
        </w:tabs>
        <w:spacing w:before="0" w:beforeAutospacing="0" w:after="0" w:afterAutospacing="0"/>
        <w:ind w:left="0" w:firstLine="567"/>
        <w:jc w:val="both"/>
        <w:textAlignment w:val="baseline"/>
      </w:pPr>
      <w:r>
        <w:rPr>
          <w:color w:val="000000"/>
          <w:sz w:val="22"/>
          <w:szCs w:val="22"/>
        </w:rPr>
        <w:t xml:space="preserve">As </w:t>
      </w:r>
      <w:r>
        <w:rPr>
          <w:rStyle w:val="45"/>
          <w:color w:val="000000" w:themeColor="text1"/>
          <w:sz w:val="22"/>
          <w:szCs w:val="22"/>
        </w:rPr>
        <w:t>impugnações</w:t>
      </w:r>
      <w:r>
        <w:rPr>
          <w:color w:val="000000"/>
          <w:sz w:val="22"/>
          <w:szCs w:val="22"/>
        </w:rPr>
        <w:t xml:space="preserve"> e os esclarecimentos deverão ser encaminhados exclusivamente de forma eletrônica pelo envio de mensagem eletrônica para o endereço: </w:t>
      </w:r>
      <w:r>
        <w:fldChar w:fldCharType="begin"/>
      </w:r>
      <w:r>
        <w:instrText xml:space="preserve"> HYPERLINK "mailto:licitacao@primaveradoleste.mt.leg.br" \h </w:instrText>
      </w:r>
      <w:r>
        <w:fldChar w:fldCharType="separate"/>
      </w:r>
      <w:r>
        <w:rPr>
          <w:rStyle w:val="54"/>
          <w:sz w:val="22"/>
          <w:szCs w:val="22"/>
        </w:rPr>
        <w:t>licitacao@primaveradoleste.mt.leg.br</w:t>
      </w:r>
      <w:r>
        <w:rPr>
          <w:rStyle w:val="54"/>
          <w:sz w:val="22"/>
          <w:szCs w:val="22"/>
        </w:rPr>
        <w:fldChar w:fldCharType="end"/>
      </w:r>
      <w:r>
        <w:rPr>
          <w:color w:val="000000"/>
          <w:sz w:val="22"/>
          <w:szCs w:val="22"/>
        </w:rPr>
        <w:t xml:space="preserve">. </w:t>
      </w:r>
    </w:p>
    <w:p>
      <w:pPr>
        <w:pStyle w:val="3"/>
        <w:numPr>
          <w:ilvl w:val="1"/>
          <w:numId w:val="1"/>
        </w:numPr>
        <w:tabs>
          <w:tab w:val="left" w:pos="1134"/>
        </w:tabs>
        <w:spacing w:before="0" w:beforeAutospacing="0" w:after="0" w:afterAutospacing="0"/>
        <w:ind w:left="0" w:firstLine="567"/>
        <w:jc w:val="both"/>
        <w:textAlignment w:val="baseline"/>
      </w:pPr>
      <w:r>
        <w:rPr>
          <w:color w:val="000000"/>
          <w:sz w:val="22"/>
          <w:szCs w:val="22"/>
        </w:rPr>
        <w:t xml:space="preserve">As </w:t>
      </w:r>
      <w:r>
        <w:rPr>
          <w:rStyle w:val="45"/>
          <w:color w:val="000000" w:themeColor="text1"/>
          <w:sz w:val="22"/>
          <w:szCs w:val="22"/>
        </w:rPr>
        <w:t>impugnações</w:t>
      </w:r>
      <w:r>
        <w:rPr>
          <w:color w:val="000000"/>
          <w:sz w:val="22"/>
          <w:szCs w:val="22"/>
        </w:rPr>
        <w:t xml:space="preserve"> e pedidos de esclarecimentos não suspendem e nem interrompem os prazos previstos no certame licitatório.</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sz w:val="22"/>
          <w:szCs w:val="22"/>
        </w:rPr>
        <w:t>A concessão de efeito suspensivo à impugnação é medida excepcional e deverá ser motivada pelo(a) Pregoeiro, nos autos do processo de licitação.</w:t>
      </w:r>
    </w:p>
    <w:p>
      <w:pPr>
        <w:pStyle w:val="3"/>
        <w:numPr>
          <w:ilvl w:val="1"/>
          <w:numId w:val="1"/>
        </w:numPr>
        <w:tabs>
          <w:tab w:val="left" w:pos="1134"/>
        </w:tabs>
        <w:spacing w:before="0" w:beforeAutospacing="0" w:after="0" w:afterAutospacing="0"/>
        <w:ind w:left="0" w:firstLine="567"/>
        <w:jc w:val="both"/>
        <w:textAlignment w:val="baseline"/>
      </w:pPr>
      <w:r>
        <w:rPr>
          <w:sz w:val="22"/>
          <w:szCs w:val="22"/>
        </w:rPr>
        <w:t xml:space="preserve">A resposta à impugnação ou ao pedido de esclarecimento será divulgado em sítio eletrônico oficial no prazo de até 3 (três) dias úteis, limitado ao último dia útil anterior à data da abertura do certame, e </w:t>
      </w:r>
      <w:r>
        <w:rPr>
          <w:color w:val="000000"/>
          <w:sz w:val="22"/>
          <w:szCs w:val="22"/>
        </w:rPr>
        <w:t xml:space="preserve">será divulgada no sítio eletrônico </w:t>
      </w:r>
      <w:r>
        <w:rPr>
          <w:rStyle w:val="45"/>
          <w:color w:val="000000" w:themeColor="text1"/>
          <w:sz w:val="22"/>
          <w:szCs w:val="22"/>
        </w:rPr>
        <w:t>oficial</w:t>
      </w:r>
      <w:r>
        <w:rPr>
          <w:color w:val="000000"/>
          <w:sz w:val="22"/>
          <w:szCs w:val="22"/>
        </w:rPr>
        <w:t xml:space="preserve"> da </w:t>
      </w:r>
      <w:r>
        <w:rPr>
          <w:rStyle w:val="45"/>
          <w:color w:val="000000"/>
          <w:sz w:val="22"/>
          <w:szCs w:val="22"/>
        </w:rPr>
        <w:t>Câmara Municipal de Primavera do Leste – MT</w:t>
      </w:r>
      <w:r>
        <w:rPr>
          <w:sz w:val="22"/>
          <w:szCs w:val="22"/>
        </w:rPr>
        <w:t xml:space="preserve">, disponível no endereço eletrônico: </w:t>
      </w:r>
      <w:r>
        <w:fldChar w:fldCharType="begin"/>
      </w:r>
      <w:r>
        <w:instrText xml:space="preserve"> HYPERLINK "https://www.primaveradoleste.mt.leg.br/" \h </w:instrText>
      </w:r>
      <w:r>
        <w:fldChar w:fldCharType="separate"/>
      </w:r>
      <w:r>
        <w:rPr>
          <w:rStyle w:val="54"/>
          <w:sz w:val="22"/>
          <w:szCs w:val="22"/>
        </w:rPr>
        <w:t>https://www.primaveradoleste.mt.leg.br/</w:t>
      </w:r>
      <w:r>
        <w:rPr>
          <w:rStyle w:val="54"/>
          <w:sz w:val="22"/>
          <w:szCs w:val="22"/>
        </w:rPr>
        <w:fldChar w:fldCharType="end"/>
      </w:r>
      <w:r>
        <w:rPr>
          <w:sz w:val="22"/>
          <w:szCs w:val="22"/>
        </w:rPr>
        <w:t xml:space="preserve"> </w:t>
      </w:r>
      <w:r>
        <w:rPr>
          <w:color w:val="000000"/>
          <w:sz w:val="22"/>
          <w:szCs w:val="22"/>
        </w:rPr>
        <w:t>(</w:t>
      </w:r>
      <w:r>
        <w:fldChar w:fldCharType="begin"/>
      </w:r>
      <w:r>
        <w:rPr>
          <w:rStyle w:val="54"/>
          <w:sz w:val="22"/>
          <w:szCs w:val="22"/>
        </w:rPr>
        <w:instrText xml:space="preserve"> HYPERLINK "https://www.planalto.gov.br/ccivil_03/_ato2019-2022/2021/lei/l14133.htm" \l "art164"</w:instrText>
      </w:r>
      <w:r>
        <w:rPr>
          <w:rStyle w:val="54"/>
          <w:sz w:val="22"/>
          <w:szCs w:val="22"/>
        </w:rPr>
        <w:fldChar w:fldCharType="separate"/>
      </w:r>
      <w:r>
        <w:rPr>
          <w:rStyle w:val="54"/>
          <w:sz w:val="22"/>
          <w:szCs w:val="22"/>
        </w:rPr>
        <w:t>art. 164, parágrafo único, da Lei Federal nº 14.133, de 2021</w:t>
      </w:r>
      <w:r>
        <w:rPr>
          <w:rStyle w:val="54"/>
          <w:sz w:val="22"/>
          <w:szCs w:val="22"/>
        </w:rPr>
        <w:fldChar w:fldCharType="end"/>
      </w:r>
      <w:r>
        <w:rPr>
          <w:color w:val="000000"/>
          <w:sz w:val="22"/>
          <w:szCs w:val="22"/>
        </w:rPr>
        <w:t>).</w:t>
      </w:r>
    </w:p>
    <w:p>
      <w:pPr>
        <w:pStyle w:val="3"/>
        <w:numPr>
          <w:ilvl w:val="1"/>
          <w:numId w:val="1"/>
        </w:numPr>
        <w:tabs>
          <w:tab w:val="left" w:pos="1134"/>
        </w:tabs>
        <w:spacing w:before="0" w:beforeAutospacing="0" w:after="0" w:afterAutospacing="0"/>
        <w:ind w:left="0" w:firstLine="567"/>
        <w:jc w:val="both"/>
        <w:textAlignment w:val="baseline"/>
      </w:pPr>
      <w:r>
        <w:rPr>
          <w:color w:val="000000"/>
          <w:sz w:val="22"/>
          <w:szCs w:val="22"/>
        </w:rPr>
        <w:t>Acolhida a IMPUGNAÇÃO contra este Edital e seus Anexos, serão procedidas as alterações e adequações necessárias, bem como designada nova data para a realização do certame, exceto quando, inquestionavelmente, a alteração não afetar a formulação das propostas (</w:t>
      </w:r>
      <w:r>
        <w:fldChar w:fldCharType="begin"/>
      </w:r>
      <w:r>
        <w:rPr>
          <w:rStyle w:val="54"/>
          <w:sz w:val="22"/>
          <w:szCs w:val="22"/>
        </w:rPr>
        <w:instrText xml:space="preserve"> HYPERLINK "https://www.planalto.gov.br/ccivil_03/_ato2019-2022/2021/lei/l14133.htm" \l "art55"</w:instrText>
      </w:r>
      <w:r>
        <w:rPr>
          <w:rStyle w:val="54"/>
          <w:sz w:val="22"/>
          <w:szCs w:val="22"/>
        </w:rPr>
        <w:fldChar w:fldCharType="separate"/>
      </w:r>
      <w:r>
        <w:rPr>
          <w:rStyle w:val="54"/>
          <w:sz w:val="22"/>
          <w:szCs w:val="22"/>
        </w:rPr>
        <w:t>art. 55, § 1º, da Lei Federal nº 14.133, de 2021</w:t>
      </w:r>
      <w:r>
        <w:rPr>
          <w:rStyle w:val="54"/>
          <w:sz w:val="22"/>
          <w:szCs w:val="22"/>
        </w:rPr>
        <w:fldChar w:fldCharType="end"/>
      </w:r>
      <w:r>
        <w:rPr>
          <w:color w:val="000000"/>
          <w:sz w:val="22"/>
          <w:szCs w:val="22"/>
        </w:rPr>
        <w:t>).</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Decairá do direito de impugnar os termos deste Edital (e seus Anexos), apontando eventuais falhas ou irregularidades que o viciarem, o cidadão que não o fizer nos prazos e condições fixados neste item, hipótese em que tal petição não terá efeito de impugnação e não obstaculizará a regular realização da sessão.</w:t>
      </w:r>
    </w:p>
    <w:p>
      <w:pPr>
        <w:pStyle w:val="3"/>
        <w:numPr>
          <w:ilvl w:val="1"/>
          <w:numId w:val="1"/>
        </w:numPr>
        <w:tabs>
          <w:tab w:val="left" w:pos="1134"/>
        </w:tabs>
        <w:spacing w:before="0" w:beforeAutospacing="0" w:after="0" w:afterAutospacing="0"/>
        <w:ind w:left="0" w:firstLine="567"/>
        <w:jc w:val="both"/>
        <w:textAlignment w:val="baseline"/>
      </w:pPr>
      <w:r>
        <w:rPr>
          <w:color w:val="000000"/>
          <w:sz w:val="22"/>
          <w:szCs w:val="22"/>
        </w:rPr>
        <w:t>Mesmo que a impugnação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w:t>
      </w:r>
      <w:r>
        <w:fldChar w:fldCharType="begin"/>
      </w:r>
      <w:r>
        <w:instrText xml:space="preserve"> HYPERLINK "https://portal.stf.jus.br/jurisprudencia/sumariosumulas.asp?base=30&amp;sumula=1602" \h </w:instrText>
      </w:r>
      <w:r>
        <w:fldChar w:fldCharType="separate"/>
      </w:r>
      <w:r>
        <w:rPr>
          <w:rStyle w:val="54"/>
          <w:sz w:val="22"/>
          <w:szCs w:val="22"/>
        </w:rPr>
        <w:t>Súmula nº 473 do STF</w:t>
      </w:r>
      <w:r>
        <w:rPr>
          <w:rStyle w:val="54"/>
          <w:sz w:val="22"/>
          <w:szCs w:val="22"/>
        </w:rPr>
        <w:fldChar w:fldCharType="end"/>
      </w:r>
      <w:r>
        <w:rPr>
          <w:color w:val="000000"/>
          <w:sz w:val="22"/>
          <w:szCs w:val="22"/>
        </w:rPr>
        <w:t xml:space="preserve"> e </w:t>
      </w:r>
      <w:r>
        <w:fldChar w:fldCharType="begin"/>
      </w:r>
      <w:r>
        <w:rPr>
          <w:rStyle w:val="54"/>
          <w:sz w:val="22"/>
          <w:szCs w:val="22"/>
        </w:rPr>
        <w:instrText xml:space="preserve"> HYPERLINK "https://www.planalto.gov.br/ccivil_03/_ato2019-2022/2021/lei/l14133.htm" \l "art71"</w:instrText>
      </w:r>
      <w:r>
        <w:rPr>
          <w:rStyle w:val="54"/>
          <w:sz w:val="22"/>
          <w:szCs w:val="22"/>
        </w:rPr>
        <w:fldChar w:fldCharType="separate"/>
      </w:r>
      <w:r>
        <w:rPr>
          <w:rStyle w:val="54"/>
          <w:sz w:val="22"/>
          <w:szCs w:val="22"/>
        </w:rPr>
        <w:t>art. 71, § 3º, da Lei Federal nº 14.133, de 2021</w:t>
      </w:r>
      <w:r>
        <w:rPr>
          <w:rStyle w:val="54"/>
          <w:sz w:val="22"/>
          <w:szCs w:val="22"/>
        </w:rPr>
        <w:fldChar w:fldCharType="end"/>
      </w:r>
      <w:r>
        <w:rPr>
          <w:color w:val="000000"/>
          <w:sz w:val="22"/>
          <w:szCs w:val="22"/>
        </w:rPr>
        <w:t>).</w:t>
      </w:r>
    </w:p>
    <w:p>
      <w:pPr>
        <w:pStyle w:val="2"/>
        <w:spacing w:before="360" w:after="0"/>
      </w:pPr>
      <w:bookmarkStart w:id="11" w:name="_CREDENCIAMENTO"/>
      <w:bookmarkEnd w:id="11"/>
      <w:bookmarkStart w:id="12" w:name="_Toc149517436"/>
      <w:r>
        <w:rPr>
          <w:rStyle w:val="45"/>
          <w:sz w:val="22"/>
          <w:szCs w:val="22"/>
        </w:rPr>
        <w:t>CREDENCIAMENTO</w:t>
      </w:r>
      <w:bookmarkEnd w:id="12"/>
      <w:r>
        <w:rPr>
          <w:rStyle w:val="45"/>
          <w:sz w:val="22"/>
          <w:szCs w:val="22"/>
        </w:rPr>
        <w:t> </w:t>
      </w:r>
    </w:p>
    <w:p>
      <w:pPr>
        <w:pStyle w:val="3"/>
        <w:numPr>
          <w:ilvl w:val="1"/>
          <w:numId w:val="1"/>
        </w:numPr>
        <w:tabs>
          <w:tab w:val="left" w:pos="1134"/>
        </w:tabs>
        <w:spacing w:before="120" w:beforeAutospacing="0" w:after="0" w:afterAutospacing="0"/>
        <w:ind w:left="0" w:firstLine="567"/>
        <w:jc w:val="both"/>
        <w:textAlignment w:val="baseline"/>
      </w:pPr>
      <w:r>
        <w:rPr>
          <w:rStyle w:val="45"/>
          <w:color w:val="000000"/>
          <w:sz w:val="22"/>
          <w:szCs w:val="22"/>
        </w:rPr>
        <w:t>As empresas licitantes interessadas deverão proceder ao credenciamento antes da data marcada para início da Sessão Pública via internet.</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sz w:val="22"/>
          <w:szCs w:val="22"/>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 xml:space="preserve">A participação do licitante no </w:t>
      </w:r>
      <w:r>
        <w:rPr>
          <w:rStyle w:val="45"/>
          <w:color w:val="000000" w:themeColor="text1"/>
          <w:sz w:val="22"/>
          <w:szCs w:val="22"/>
        </w:rPr>
        <w:t>Pregão</w:t>
      </w:r>
      <w:r>
        <w:rPr>
          <w:rStyle w:val="45"/>
          <w:color w:val="000000"/>
          <w:sz w:val="22"/>
          <w:szCs w:val="22"/>
        </w:rPr>
        <w:t xml:space="preserve"> se dará exclusivamente através de </w:t>
      </w:r>
      <w:r>
        <w:rPr>
          <w:rStyle w:val="45"/>
          <w:i/>
          <w:iCs/>
          <w:color w:val="000000"/>
          <w:sz w:val="22"/>
          <w:szCs w:val="22"/>
        </w:rPr>
        <w:t>Home Broker</w:t>
      </w:r>
      <w:r>
        <w:rPr>
          <w:rStyle w:val="45"/>
          <w:color w:val="000000"/>
          <w:sz w:val="22"/>
          <w:szCs w:val="22"/>
        </w:rPr>
        <w:t>, o qual deverá manifestar em campo próprio da plataforma Eletrônica, pleno conhecimento, aceitação e atendimento às exigências de habilitação previstas no Edital.</w:t>
      </w:r>
    </w:p>
    <w:p>
      <w:pPr>
        <w:pStyle w:val="3"/>
        <w:numPr>
          <w:ilvl w:val="1"/>
          <w:numId w:val="1"/>
        </w:numPr>
        <w:tabs>
          <w:tab w:val="left" w:pos="1134"/>
        </w:tabs>
        <w:spacing w:before="0" w:beforeAutospacing="0" w:after="0" w:afterAutospacing="0"/>
        <w:ind w:left="0" w:firstLine="567"/>
        <w:jc w:val="both"/>
        <w:textAlignment w:val="baseline"/>
      </w:pPr>
      <w:r>
        <w:rPr>
          <w:sz w:val="22"/>
          <w:szCs w:val="22"/>
        </w:rPr>
        <w:t xml:space="preserve">O credenciamento dar-se-á pela atribuição de chave de identificação e de senha, pessoal e intransferível, para acesso ao Portal Licitanet, disponível no endereço eletrônico: </w:t>
      </w:r>
      <w:r>
        <w:fldChar w:fldCharType="begin"/>
      </w:r>
      <w:r>
        <w:instrText xml:space="preserve"> HYPERLINK "https://www.licitanet.com.br/" \h </w:instrText>
      </w:r>
      <w:r>
        <w:fldChar w:fldCharType="separate"/>
      </w:r>
      <w:r>
        <w:rPr>
          <w:rStyle w:val="54"/>
          <w:sz w:val="22"/>
          <w:szCs w:val="22"/>
        </w:rPr>
        <w:t>https://www.licitanet.com.br/</w:t>
      </w:r>
      <w:r>
        <w:rPr>
          <w:rStyle w:val="54"/>
          <w:sz w:val="22"/>
          <w:szCs w:val="22"/>
        </w:rPr>
        <w:fldChar w:fldCharType="end"/>
      </w:r>
      <w:r>
        <w:rPr>
          <w:sz w:val="22"/>
          <w:szCs w:val="22"/>
        </w:rPr>
        <w:t xml:space="preserve">, </w:t>
      </w:r>
      <w:r>
        <w:rPr>
          <w:rStyle w:val="45"/>
          <w:color w:val="000000"/>
          <w:sz w:val="22"/>
          <w:szCs w:val="22"/>
        </w:rPr>
        <w:t>e o uso da senha de acesso ao sistema eletrônico é de inteira e exclusiva responsabilidade da licitante, incluindo qualquer transação efetuada diretamente ou por seu representante, não cabendo ao provedor do sistema ou ao promotor da licitação, responsabilidade por eventuais danos decorrentes do uso indevido da senha, ainda que por terceiros.</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 xml:space="preserve">O acesso do licitante ao </w:t>
      </w:r>
      <w:r>
        <w:rPr>
          <w:rStyle w:val="45"/>
          <w:color w:val="000000" w:themeColor="text1"/>
          <w:sz w:val="22"/>
          <w:szCs w:val="22"/>
        </w:rPr>
        <w:t>Pregão</w:t>
      </w:r>
      <w:r>
        <w:rPr>
          <w:rStyle w:val="45"/>
          <w:color w:val="000000"/>
          <w:sz w:val="22"/>
          <w:szCs w:val="22"/>
        </w:rPr>
        <w:t xml:space="preserve">, em sua forma eletrônica, para efeito de encaminhamento de proposta de preço e lances sucessivos de preços, somente se dará mediante prévio cadastramento e adesão ao </w:t>
      </w:r>
      <w:r>
        <w:rPr>
          <w:sz w:val="22"/>
          <w:szCs w:val="22"/>
        </w:rPr>
        <w:t xml:space="preserve">Portal Licitanet, disponível no endereço eletrônico: </w:t>
      </w:r>
      <w:r>
        <w:fldChar w:fldCharType="begin"/>
      </w:r>
      <w:r>
        <w:instrText xml:space="preserve"> HYPERLINK "https://www.licitanet.com.br/" \h </w:instrText>
      </w:r>
      <w:r>
        <w:fldChar w:fldCharType="separate"/>
      </w:r>
      <w:r>
        <w:rPr>
          <w:rStyle w:val="54"/>
          <w:sz w:val="22"/>
          <w:szCs w:val="22"/>
        </w:rPr>
        <w:t>https://www.licitanet.com.br/</w:t>
      </w:r>
      <w:r>
        <w:rPr>
          <w:rStyle w:val="54"/>
          <w:sz w:val="22"/>
          <w:szCs w:val="22"/>
        </w:rPr>
        <w:fldChar w:fldCharType="end"/>
      </w:r>
      <w:r>
        <w:rPr>
          <w:sz w:val="22"/>
          <w:szCs w:val="22"/>
        </w:rPr>
        <w:t>.</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 xml:space="preserve">É de exclusiva responsabilidade do licitante o sigilo da senha, bem como seu uso em qualquer transação efetuada, não cabendo ao </w:t>
      </w:r>
      <w:r>
        <w:rPr>
          <w:sz w:val="22"/>
          <w:szCs w:val="22"/>
        </w:rPr>
        <w:t>Portal Licitanet (</w:t>
      </w:r>
      <w:r>
        <w:fldChar w:fldCharType="begin"/>
      </w:r>
      <w:r>
        <w:instrText xml:space="preserve"> HYPERLINK "https://www.licitanet.com.br/" \h </w:instrText>
      </w:r>
      <w:r>
        <w:fldChar w:fldCharType="separate"/>
      </w:r>
      <w:r>
        <w:rPr>
          <w:rStyle w:val="54"/>
          <w:sz w:val="22"/>
          <w:szCs w:val="22"/>
        </w:rPr>
        <w:t>https://www.licitanet.com.br/</w:t>
      </w:r>
      <w:r>
        <w:rPr>
          <w:rStyle w:val="54"/>
          <w:sz w:val="22"/>
          <w:szCs w:val="22"/>
        </w:rPr>
        <w:fldChar w:fldCharType="end"/>
      </w:r>
      <w:r>
        <w:rPr>
          <w:rStyle w:val="45"/>
          <w:color w:val="000000"/>
          <w:sz w:val="22"/>
          <w:szCs w:val="22"/>
        </w:rPr>
        <w:t xml:space="preserve">) e à </w:t>
      </w:r>
      <w:r>
        <w:rPr>
          <w:rStyle w:val="45"/>
          <w:color w:val="000000" w:themeColor="text1"/>
          <w:sz w:val="22"/>
          <w:szCs w:val="22"/>
        </w:rPr>
        <w:t>Câmara Municipal de Primavera do Leste - MT</w:t>
      </w:r>
      <w:r>
        <w:rPr>
          <w:rStyle w:val="45"/>
          <w:color w:val="000000"/>
          <w:sz w:val="22"/>
          <w:szCs w:val="22"/>
        </w:rPr>
        <w:t xml:space="preserve"> a responsabilidade por eventuais danos decorrentes de uso indevido da senha, ainda que por terceiros.</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 xml:space="preserve">O cadastramento do licitante junto a plataforma onde ocorrerá a disputa no presente </w:t>
      </w:r>
      <w:r>
        <w:rPr>
          <w:rStyle w:val="45"/>
          <w:color w:val="000000" w:themeColor="text1"/>
          <w:sz w:val="22"/>
          <w:szCs w:val="22"/>
        </w:rPr>
        <w:t>Pregão</w:t>
      </w:r>
      <w:r>
        <w:rPr>
          <w:rStyle w:val="45"/>
          <w:color w:val="000000"/>
          <w:sz w:val="22"/>
          <w:szCs w:val="22"/>
        </w:rPr>
        <w:t xml:space="preserve"> implica a responsabilidade legal pelos atos praticados e a presunção de capacidade técnica para realização das transações inerentes ao certame. </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 xml:space="preserve">As microempresas ou as empresas de pequeno porte no momento de seu cadastro deverão manifestar em campo próprio do Sistema Eletrônico o estabelecido na </w:t>
      </w:r>
      <w:r>
        <w:fldChar w:fldCharType="begin"/>
      </w:r>
      <w:r>
        <w:instrText xml:space="preserve"> HYPERLINK "https://www.planalto.gov.br/ccivil_03/leis/lcp/lcp123.htm" \h </w:instrText>
      </w:r>
      <w:r>
        <w:fldChar w:fldCharType="separate"/>
      </w:r>
      <w:r>
        <w:rPr>
          <w:rStyle w:val="54"/>
          <w:sz w:val="22"/>
          <w:szCs w:val="22"/>
        </w:rPr>
        <w:t>Lei Complementar Federal nº 123, de 2006</w:t>
      </w:r>
      <w:r>
        <w:rPr>
          <w:rStyle w:val="54"/>
          <w:sz w:val="22"/>
          <w:szCs w:val="22"/>
        </w:rPr>
        <w:fldChar w:fldCharType="end"/>
      </w:r>
      <w:r>
        <w:rPr>
          <w:rStyle w:val="45"/>
          <w:color w:val="000000"/>
          <w:sz w:val="22"/>
          <w:szCs w:val="22"/>
        </w:rPr>
        <w:t>.</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 xml:space="preserve">A não declaração, no momento do credenciamento, da licitante em referência </w:t>
      </w:r>
      <w:r>
        <w:fldChar w:fldCharType="begin"/>
      </w:r>
      <w:r>
        <w:instrText xml:space="preserve"> HYPERLINK "https://www.planalto.gov.br/ccivil_03/leis/lcp/lcp123.htm" \h </w:instrText>
      </w:r>
      <w:r>
        <w:fldChar w:fldCharType="separate"/>
      </w:r>
      <w:r>
        <w:rPr>
          <w:rStyle w:val="54"/>
          <w:sz w:val="22"/>
          <w:szCs w:val="22"/>
        </w:rPr>
        <w:t>Lei Complementar Federal nº 123, de 2006</w:t>
      </w:r>
      <w:r>
        <w:rPr>
          <w:rStyle w:val="54"/>
          <w:sz w:val="22"/>
          <w:szCs w:val="22"/>
        </w:rPr>
        <w:fldChar w:fldCharType="end"/>
      </w:r>
      <w:r>
        <w:rPr>
          <w:rStyle w:val="45"/>
          <w:color w:val="000000"/>
          <w:sz w:val="22"/>
          <w:szCs w:val="22"/>
        </w:rPr>
        <w:t>, caso se enquadre, implicará o IMPEDIMENTO DA LICITANTE EM BENEFICIAR-SE DA CONDIÇÃO DE MICROEMPRESA (ME) OU EMPRESA DE PEQUENO PORTE (EPP).</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 xml:space="preserve">A declaração falsa dos requisitos do credenciamento sujeitará às sanções previstas neste Edital e nas demais cominações legais do certame, em especial quanto à tipificação prevista no </w:t>
      </w:r>
      <w:r>
        <w:fldChar w:fldCharType="begin"/>
      </w:r>
      <w:r>
        <w:rPr>
          <w:rStyle w:val="54"/>
          <w:sz w:val="22"/>
          <w:szCs w:val="22"/>
        </w:rPr>
        <w:instrText xml:space="preserve"> HYPERLINK "https://www.planalto.gov.br/ccivil_03/_ato2019-2022/2021/lei/l14133.htm" \l "art155"</w:instrText>
      </w:r>
      <w:r>
        <w:rPr>
          <w:rStyle w:val="54"/>
          <w:sz w:val="22"/>
          <w:szCs w:val="22"/>
        </w:rPr>
        <w:fldChar w:fldCharType="separate"/>
      </w:r>
      <w:r>
        <w:rPr>
          <w:rStyle w:val="54"/>
          <w:sz w:val="22"/>
          <w:szCs w:val="22"/>
        </w:rPr>
        <w:t>art. 155, VIII, da Lei Federal nº 14.133, de 2021</w:t>
      </w:r>
      <w:r>
        <w:rPr>
          <w:rStyle w:val="54"/>
          <w:sz w:val="22"/>
          <w:szCs w:val="22"/>
        </w:rPr>
        <w:fldChar w:fldCharType="end"/>
      </w:r>
      <w:r>
        <w:rPr>
          <w:rStyle w:val="45"/>
          <w:color w:val="000000"/>
          <w:sz w:val="22"/>
          <w:szCs w:val="22"/>
        </w:rPr>
        <w:t xml:space="preserve">. </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A perda da senha ou a quebra de sigilo deverá ser comunicada ao provedor do sistema para imediato bloqueio de acesso.</w:t>
      </w:r>
    </w:p>
    <w:p>
      <w:pPr>
        <w:pStyle w:val="2"/>
        <w:spacing w:before="360" w:after="0"/>
      </w:pPr>
      <w:bookmarkStart w:id="13" w:name="_Toc149517437"/>
      <w:r>
        <w:rPr>
          <w:rStyle w:val="45"/>
          <w:sz w:val="22"/>
          <w:szCs w:val="22"/>
        </w:rPr>
        <w:t>CADASTRAMENTO DA PROPOSTA</w:t>
      </w:r>
      <w:bookmarkEnd w:id="13"/>
      <w:r>
        <w:rPr>
          <w:rStyle w:val="45"/>
          <w:sz w:val="22"/>
          <w:szCs w:val="22"/>
        </w:rPr>
        <w:t xml:space="preserve"> </w:t>
      </w:r>
    </w:p>
    <w:p>
      <w:pPr>
        <w:pStyle w:val="3"/>
        <w:numPr>
          <w:ilvl w:val="1"/>
          <w:numId w:val="1"/>
        </w:numPr>
        <w:tabs>
          <w:tab w:val="left" w:pos="1134"/>
        </w:tabs>
        <w:spacing w:before="120" w:beforeAutospacing="0" w:after="0" w:afterAutospacing="0"/>
        <w:ind w:left="0" w:firstLine="567"/>
        <w:jc w:val="both"/>
        <w:textAlignment w:val="baseline"/>
      </w:pPr>
      <w:r>
        <w:rPr>
          <w:rStyle w:val="45"/>
          <w:color w:val="000000"/>
          <w:sz w:val="22"/>
          <w:szCs w:val="22"/>
        </w:rPr>
        <w:t xml:space="preserve">O cadastramento de proposta(s) somente será possível após o cadastramento no </w:t>
      </w:r>
      <w:r>
        <w:rPr>
          <w:sz w:val="22"/>
          <w:szCs w:val="22"/>
        </w:rPr>
        <w:t xml:space="preserve">Portal Licitanet, disponível no endereço eletrônico: </w:t>
      </w:r>
      <w:r>
        <w:fldChar w:fldCharType="begin"/>
      </w:r>
      <w:r>
        <w:instrText xml:space="preserve"> HYPERLINK "https://www.licitanet.com.br/" \h </w:instrText>
      </w:r>
      <w:r>
        <w:fldChar w:fldCharType="separate"/>
      </w:r>
      <w:r>
        <w:rPr>
          <w:rStyle w:val="54"/>
          <w:sz w:val="22"/>
          <w:szCs w:val="22"/>
        </w:rPr>
        <w:t>https://www.licitanet.com.br/</w:t>
      </w:r>
      <w:r>
        <w:rPr>
          <w:rStyle w:val="54"/>
          <w:sz w:val="22"/>
          <w:szCs w:val="22"/>
        </w:rPr>
        <w:fldChar w:fldCharType="end"/>
      </w:r>
      <w:r>
        <w:rPr>
          <w:rStyle w:val="45"/>
          <w:color w:val="000000"/>
          <w:sz w:val="22"/>
          <w:szCs w:val="22"/>
        </w:rPr>
        <w:t>, na forma estabelecida no item “</w:t>
      </w:r>
      <w:r>
        <w:fldChar w:fldCharType="begin"/>
      </w:r>
      <w:r>
        <w:instrText xml:space="preserve"> HYPERLINK \l "_CREDENCIAMENTO" \h </w:instrText>
      </w:r>
      <w:r>
        <w:fldChar w:fldCharType="separate"/>
      </w:r>
      <w:r>
        <w:rPr>
          <w:rStyle w:val="54"/>
          <w:sz w:val="22"/>
          <w:szCs w:val="22"/>
        </w:rPr>
        <w:t>13 - CREDENCIAMENTO</w:t>
      </w:r>
      <w:r>
        <w:rPr>
          <w:rStyle w:val="54"/>
          <w:sz w:val="22"/>
          <w:szCs w:val="22"/>
        </w:rPr>
        <w:fldChar w:fldCharType="end"/>
      </w:r>
      <w:r>
        <w:rPr>
          <w:rStyle w:val="45"/>
          <w:color w:val="000000"/>
          <w:sz w:val="22"/>
          <w:szCs w:val="22"/>
        </w:rPr>
        <w:t>” deste Edital.</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 xml:space="preserve">A proposta de preços com o preço unitário/total para o item único, deverá ser enviada em formulário específico, mediante o uso da chave de acesso e senha privativa da licitante, exclusivamente, por meio do sistema eletrônico, no prazo indicado no item </w:t>
      </w:r>
      <w:r>
        <w:rPr>
          <w:sz w:val="22"/>
          <w:szCs w:val="22"/>
        </w:rPr>
        <w:t>“</w:t>
      </w:r>
      <w:r>
        <w:fldChar w:fldCharType="begin"/>
      </w:r>
      <w:r>
        <w:instrText xml:space="preserve"> HYPERLINK \l "_DATA_E_HORÁRIO" \h </w:instrText>
      </w:r>
      <w:r>
        <w:fldChar w:fldCharType="separate"/>
      </w:r>
      <w:r>
        <w:rPr>
          <w:rStyle w:val="54"/>
          <w:sz w:val="22"/>
          <w:szCs w:val="22"/>
        </w:rPr>
        <w:t>4 - DATA E HORÁRIO</w:t>
      </w:r>
      <w:r>
        <w:rPr>
          <w:rStyle w:val="54"/>
          <w:sz w:val="22"/>
          <w:szCs w:val="22"/>
        </w:rPr>
        <w:fldChar w:fldCharType="end"/>
      </w:r>
      <w:r>
        <w:rPr>
          <w:sz w:val="22"/>
          <w:szCs w:val="22"/>
        </w:rPr>
        <w:t>”</w:t>
      </w:r>
      <w:r>
        <w:rPr>
          <w:rStyle w:val="45"/>
          <w:color w:val="000000"/>
          <w:sz w:val="22"/>
          <w:szCs w:val="22"/>
        </w:rPr>
        <w:t>.</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O registro de proposta eletrônica vinculada ao presente certame implica, independente de expressa declaração, na(o):</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Aceitação de todas as condições estabelecidas neste Edital e seus Anexos;</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garantia do cumprimento da proposta por prazo mínimo de 90 (noventa) dias, contados da data de abertura da sessão pública;</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compromisso do licitante para com o rigoroso cumprimento das especificações técnicas, prazos e condições fixadas no Termo de Referência (Anexo I);</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Impossibilidade de posterior desistência ou declínio de proposta a partir da data da sessão eletrônica inicial, ou de requerer qualquer acréscimo de custos que deveria ter sido incluído na sua proposta;</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Submissão às sanções administrativas previstas neste Edital e seus Anexos;</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 xml:space="preserve">Obrigação de participar ativamente do certame (ON LINE) até a sua conclusão, encaminhando toda a documentação solicitada e/ou prestando as informações e esclarecimentos solicitados pelo(a) </w:t>
      </w:r>
      <w:r>
        <w:rPr>
          <w:sz w:val="22"/>
          <w:szCs w:val="22"/>
        </w:rPr>
        <w:t>Pregoeiro</w:t>
      </w:r>
      <w:r>
        <w:rPr>
          <w:rStyle w:val="45"/>
          <w:color w:val="000000"/>
          <w:sz w:val="22"/>
          <w:szCs w:val="22"/>
        </w:rPr>
        <w:t>.</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As propostas registradas no “Sistema” NÃO DEVEM CONTER NENHUMA IDENTIFICAÇÃO DA EMPRESA PROPONENTE, visando atender o princípio da impessoalidade e preservar o sigilo das propostas, sob pena de desclassificação.</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Quando do cadastramento da proposta, a licitante poderá parametrizar seu preço final mínimo, obedecida a aplicação do intervalo mínimo de diferença de valores que incidirá tanto em relação aos lances intermediários, quanto em relação ao lance que cobrir a melhor oferta.</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Os lances serão de envio automático pelo sistema, que respeitará o preço final mínimo, bem como o intervalo de que trata o item anterior.</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O preço final mínimo poderá ser alterado pela licitante durante a fase de lances, porém, não poderá ser superior a lance já registrado por ela no sistema.</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As licitantes se responsabilizarão pelas transações efetuadas em seu nome, assumindo como firmes e verdadeiras suas propostas, assim como os lances inseridos, bem como pelo acompanhamento de todas as operações efetuadas no sistema eletrônico durante a sessão pública, arcando com quaisquer ônus decorrentes da perda de negócios diante da inobservância de qualquer mensagem emitida pelo sistema ou de sua desconexão.</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 xml:space="preserve">Caberá à licitante comunicar imediatamente ao provedor do sistema eletrônico utilizado no certame, qualquer acontecimento que possa comprometer o sigilo ou a segurança, para imediato bloqueio de acesso. </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 xml:space="preserve">Até a abertura da sessão, as licitantes poderão retirar ou substituir suas propostas anteriormente apresentadas. </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A proposta deverá obedecer rigorosamente aos termos deste Edital e seus anexos, não sendo aceita oferta de serviços com características e quantidades diferentes das indicadas no Termo de Referência - Anexo I deste Edital.</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Todas as especificações do objeto contidas na proposta vinculam o fornecedor registrado.</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 xml:space="preserve">Independente de declaração expressa, a simples apresentação da proposta implica submissão da licitante a todas as condições estipuladas neste Edital e seus anexos, bem como, na legislação aplicável, inclusive a </w:t>
      </w:r>
      <w:r>
        <w:fldChar w:fldCharType="begin"/>
      </w:r>
      <w:r>
        <w:instrText xml:space="preserve"> HYPERLINK "https://www.planalto.gov.br/ccivil_03/leis/l8078compilado.htm" \h </w:instrText>
      </w:r>
      <w:r>
        <w:fldChar w:fldCharType="separate"/>
      </w:r>
      <w:r>
        <w:rPr>
          <w:rStyle w:val="54"/>
          <w:sz w:val="22"/>
          <w:szCs w:val="22"/>
        </w:rPr>
        <w:t>Lei Federal nº 8.078, de 1990</w:t>
      </w:r>
      <w:r>
        <w:rPr>
          <w:rStyle w:val="54"/>
          <w:sz w:val="22"/>
          <w:szCs w:val="22"/>
        </w:rPr>
        <w:fldChar w:fldCharType="end"/>
      </w:r>
      <w:r>
        <w:rPr>
          <w:rStyle w:val="45"/>
          <w:color w:val="000000"/>
          <w:sz w:val="22"/>
          <w:szCs w:val="22"/>
        </w:rPr>
        <w:t>.</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Nenhuma indenização será devida aos licitantes pela elaboração ou apresentação de propostas relativas a presente licitação.</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Nos valores propostos estarão inclusos todos os custos operacionais, encargos previdenciários, trabalhistas, tributários, comerciais, frete e quaisquer outros que incidam, direta ou indiretamente, no fornecimento dos bens.</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Após a abertura da sessão pública eletrônica do presente certame não cabe, em nenhuma hipótese, desistência de proposta.</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 xml:space="preserve">Nenhuma proposta ou documentação de habilitação poderá ser encaminhada ao(à) </w:t>
      </w:r>
      <w:r>
        <w:rPr>
          <w:sz w:val="22"/>
          <w:szCs w:val="22"/>
        </w:rPr>
        <w:t>Pregoeiro</w:t>
      </w:r>
      <w:r>
        <w:rPr>
          <w:rStyle w:val="45"/>
          <w:color w:val="000000"/>
          <w:sz w:val="22"/>
          <w:szCs w:val="22"/>
        </w:rPr>
        <w:t xml:space="preserve"> por e-mail ou outro meio de comunicação antes do encerramento da etapa competitiva, sob pena de quebra do anonimato da competição e, consequentemente, desclassificação da proposta.</w:t>
      </w:r>
    </w:p>
    <w:p>
      <w:pPr>
        <w:pStyle w:val="3"/>
        <w:numPr>
          <w:ilvl w:val="0"/>
          <w:numId w:val="0"/>
        </w:numPr>
        <w:tabs>
          <w:tab w:val="left" w:pos="1134"/>
        </w:tabs>
        <w:spacing w:before="0" w:beforeAutospacing="0" w:after="0" w:afterAutospacing="0"/>
        <w:ind w:left="0" w:firstLine="0"/>
        <w:jc w:val="both"/>
        <w:textAlignment w:val="baseline"/>
        <w:rPr>
          <w:rStyle w:val="45"/>
          <w:color w:val="000000"/>
          <w:sz w:val="22"/>
          <w:szCs w:val="22"/>
        </w:rPr>
      </w:pPr>
    </w:p>
    <w:p>
      <w:pPr>
        <w:pStyle w:val="2"/>
        <w:spacing w:before="360" w:after="0"/>
      </w:pPr>
      <w:bookmarkStart w:id="14" w:name="_Toc149517438"/>
      <w:r>
        <w:rPr>
          <w:rStyle w:val="45"/>
          <w:sz w:val="22"/>
          <w:szCs w:val="22"/>
        </w:rPr>
        <w:t>CADASTRAMENTO DOS DOCUMENTOS DE HABILITAÇÃO</w:t>
      </w:r>
      <w:bookmarkEnd w:id="14"/>
      <w:r>
        <w:rPr>
          <w:rStyle w:val="45"/>
          <w:sz w:val="22"/>
          <w:szCs w:val="22"/>
        </w:rPr>
        <w:t xml:space="preserve"> </w:t>
      </w:r>
    </w:p>
    <w:p>
      <w:pPr>
        <w:pStyle w:val="3"/>
        <w:numPr>
          <w:ilvl w:val="1"/>
          <w:numId w:val="1"/>
        </w:numPr>
        <w:tabs>
          <w:tab w:val="left" w:pos="1134"/>
        </w:tabs>
        <w:spacing w:before="120" w:beforeAutospacing="0" w:after="0" w:afterAutospacing="0"/>
        <w:ind w:left="0" w:firstLine="567"/>
        <w:jc w:val="both"/>
        <w:textAlignment w:val="baseline"/>
      </w:pPr>
      <w:r>
        <w:rPr>
          <w:rStyle w:val="45"/>
          <w:color w:val="000000"/>
          <w:sz w:val="22"/>
          <w:szCs w:val="22"/>
        </w:rPr>
        <w:t xml:space="preserve">O cadastramento dos documentos de habilitação somente será possível após o cadastramento no </w:t>
      </w:r>
      <w:r>
        <w:rPr>
          <w:sz w:val="22"/>
          <w:szCs w:val="22"/>
        </w:rPr>
        <w:t xml:space="preserve">Portal Licitanet, disponível no endereço eletrônico: </w:t>
      </w:r>
      <w:r>
        <w:fldChar w:fldCharType="begin"/>
      </w:r>
      <w:r>
        <w:instrText xml:space="preserve"> HYPERLINK "https://www.licitanet.com.br/" \h </w:instrText>
      </w:r>
      <w:r>
        <w:fldChar w:fldCharType="separate"/>
      </w:r>
      <w:r>
        <w:rPr>
          <w:rStyle w:val="54"/>
          <w:sz w:val="22"/>
          <w:szCs w:val="22"/>
        </w:rPr>
        <w:t>https://www.licitanet.com.br/</w:t>
      </w:r>
      <w:r>
        <w:rPr>
          <w:rStyle w:val="54"/>
          <w:sz w:val="22"/>
          <w:szCs w:val="22"/>
        </w:rPr>
        <w:fldChar w:fldCharType="end"/>
      </w:r>
      <w:r>
        <w:rPr>
          <w:rStyle w:val="45"/>
          <w:color w:val="000000"/>
          <w:sz w:val="22"/>
          <w:szCs w:val="22"/>
        </w:rPr>
        <w:t>, na forma estabelecida no item “</w:t>
      </w:r>
      <w:r>
        <w:fldChar w:fldCharType="begin"/>
      </w:r>
      <w:r>
        <w:instrText xml:space="preserve"> HYPERLINK \l "_CREDENCIAMENTO" \h </w:instrText>
      </w:r>
      <w:r>
        <w:fldChar w:fldCharType="separate"/>
      </w:r>
      <w:r>
        <w:rPr>
          <w:rStyle w:val="54"/>
          <w:sz w:val="22"/>
          <w:szCs w:val="22"/>
        </w:rPr>
        <w:t>13 – CREDENCIAMENTO</w:t>
      </w:r>
      <w:r>
        <w:rPr>
          <w:rStyle w:val="54"/>
          <w:sz w:val="22"/>
          <w:szCs w:val="22"/>
        </w:rPr>
        <w:fldChar w:fldCharType="end"/>
      </w:r>
      <w:r>
        <w:rPr>
          <w:rStyle w:val="45"/>
          <w:color w:val="000000"/>
          <w:sz w:val="22"/>
          <w:szCs w:val="22"/>
        </w:rPr>
        <w:t>” deste Edital.</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As Microempresas (ME) e as Empresas de Pequeno Porte (EPP) deverão encaminhar a documentação</w:t>
      </w:r>
      <w:r>
        <w:rPr>
          <w:rFonts w:eastAsiaTheme="minorHAnsi"/>
          <w:sz w:val="22"/>
          <w:szCs w:val="22"/>
          <w:lang w:eastAsia="en-US"/>
        </w:rPr>
        <w:t xml:space="preserve"> de habilitação, ainda que haja alguma restrição de regularidade fiscal, social e trabalhista, nos termos do </w:t>
      </w:r>
      <w:r>
        <w:fldChar w:fldCharType="begin"/>
      </w:r>
      <w:r>
        <w:rPr>
          <w:rStyle w:val="54"/>
          <w:rFonts w:eastAsia="Calibri"/>
          <w:sz w:val="22"/>
          <w:szCs w:val="22"/>
          <w:lang w:eastAsia="en-US"/>
        </w:rPr>
        <w:instrText xml:space="preserve"> HYPERLINK "https://www.planalto.gov.br/ccivil_03/leis/lcp/lcp123.htm" \l "art43"</w:instrText>
      </w:r>
      <w:r>
        <w:rPr>
          <w:rStyle w:val="54"/>
          <w:rFonts w:eastAsia="Calibri"/>
          <w:sz w:val="22"/>
          <w:szCs w:val="22"/>
          <w:lang w:eastAsia="en-US"/>
        </w:rPr>
        <w:fldChar w:fldCharType="separate"/>
      </w:r>
      <w:r>
        <w:rPr>
          <w:rStyle w:val="54"/>
          <w:rFonts w:eastAsiaTheme="minorHAnsi"/>
          <w:sz w:val="22"/>
          <w:szCs w:val="22"/>
          <w:lang w:eastAsia="en-US"/>
        </w:rPr>
        <w:t>art. 43, § 1º, da Lei Complementar Federal nº 123, de 2006</w:t>
      </w:r>
      <w:r>
        <w:rPr>
          <w:rStyle w:val="54"/>
          <w:rFonts w:eastAsia="Calibri"/>
          <w:sz w:val="22"/>
          <w:szCs w:val="22"/>
          <w:lang w:eastAsia="en-US"/>
        </w:rPr>
        <w:fldChar w:fldCharType="end"/>
      </w:r>
      <w:r>
        <w:rPr>
          <w:rFonts w:eastAsiaTheme="minorHAnsi"/>
          <w:sz w:val="22"/>
          <w:szCs w:val="22"/>
          <w:lang w:eastAsia="en-US"/>
        </w:rPr>
        <w:t>.</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rFonts w:eastAsiaTheme="minorHAnsi"/>
          <w:sz w:val="22"/>
          <w:szCs w:val="22"/>
          <w:lang w:eastAsia="en-US"/>
        </w:rPr>
        <w:t>Até a abertura da sessão pública, os licitantes poderão acrescentar ou substituir a documentos de habilitação anteriormente inseridos no sistema.</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rFonts w:eastAsiaTheme="minorHAnsi"/>
          <w:sz w:val="22"/>
          <w:szCs w:val="22"/>
          <w:lang w:eastAsia="en-US"/>
        </w:rPr>
        <w:t xml:space="preserve">Os documentos que compõem a proposta e a habilitação do licitante melhor classificado somente serão disponibilizados para avaliação do(a) </w:t>
      </w:r>
      <w:r>
        <w:rPr>
          <w:sz w:val="22"/>
          <w:szCs w:val="22"/>
        </w:rPr>
        <w:t>Pregoeiro</w:t>
      </w:r>
      <w:r>
        <w:rPr>
          <w:rFonts w:eastAsiaTheme="minorHAnsi"/>
          <w:sz w:val="22"/>
          <w:szCs w:val="22"/>
          <w:lang w:eastAsia="en-US"/>
        </w:rPr>
        <w:t>, e para acesso público, após o encerramento do envio de lances.</w:t>
      </w:r>
    </w:p>
    <w:p>
      <w:pPr>
        <w:pStyle w:val="3"/>
        <w:numPr>
          <w:ilvl w:val="0"/>
          <w:numId w:val="0"/>
        </w:numPr>
        <w:tabs>
          <w:tab w:val="left" w:pos="1134"/>
        </w:tabs>
        <w:spacing w:before="0" w:beforeAutospacing="0" w:after="0" w:afterAutospacing="0"/>
        <w:ind w:left="567" w:firstLine="0"/>
        <w:jc w:val="both"/>
        <w:textAlignment w:val="baseline"/>
        <w:rPr>
          <w:rFonts w:ascii="Times New Roman" w:hAnsi="Times New Roman"/>
          <w:sz w:val="22"/>
          <w:szCs w:val="22"/>
        </w:rPr>
      </w:pPr>
    </w:p>
    <w:p>
      <w:pPr>
        <w:pStyle w:val="3"/>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pPr>
      <w:r>
        <w:rPr>
          <w:rStyle w:val="45"/>
          <w:b/>
          <w:bCs/>
          <w:sz w:val="22"/>
          <w:szCs w:val="22"/>
        </w:rPr>
        <w:t>ABERTURA DA SESSÃO </w:t>
      </w:r>
    </w:p>
    <w:p>
      <w:pPr>
        <w:pStyle w:val="3"/>
        <w:numPr>
          <w:ilvl w:val="1"/>
          <w:numId w:val="1"/>
        </w:numPr>
        <w:tabs>
          <w:tab w:val="left" w:pos="1134"/>
        </w:tabs>
        <w:spacing w:before="0" w:beforeAutospacing="0" w:after="0" w:afterAutospacing="0"/>
        <w:ind w:left="0" w:firstLine="567"/>
        <w:jc w:val="both"/>
        <w:textAlignment w:val="baseline"/>
      </w:pPr>
      <w:r>
        <w:rPr>
          <w:color w:val="000000"/>
          <w:sz w:val="22"/>
          <w:szCs w:val="22"/>
        </w:rPr>
        <w:t>Na data e horário previstos no item “</w:t>
      </w:r>
      <w:r>
        <w:fldChar w:fldCharType="begin"/>
      </w:r>
      <w:r>
        <w:instrText xml:space="preserve"> HYPERLINK \l "_DATA_E_HORÁRIO" \h </w:instrText>
      </w:r>
      <w:r>
        <w:fldChar w:fldCharType="separate"/>
      </w:r>
      <w:r>
        <w:rPr>
          <w:rStyle w:val="54"/>
          <w:sz w:val="22"/>
          <w:szCs w:val="22"/>
        </w:rPr>
        <w:t>4 - DATA E HORÁRIO</w:t>
      </w:r>
      <w:r>
        <w:rPr>
          <w:rStyle w:val="54"/>
          <w:sz w:val="22"/>
          <w:szCs w:val="22"/>
        </w:rPr>
        <w:fldChar w:fldCharType="end"/>
      </w:r>
      <w:r>
        <w:rPr>
          <w:color w:val="000000"/>
          <w:sz w:val="22"/>
          <w:szCs w:val="22"/>
        </w:rPr>
        <w:t>” deste Edital, a sessão pública na internet será aberta automaticamente pelo sistema.</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A verificação da conformidade da proposta será feita exclusivamente na fase de julgamento das propostas e em relação à proposta mais bem classificada.</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 xml:space="preserve">O sistema disponibilizará campo próprio para troca de mensagens entre o(a) </w:t>
      </w:r>
      <w:r>
        <w:rPr>
          <w:sz w:val="22"/>
          <w:szCs w:val="22"/>
        </w:rPr>
        <w:t>Pregoeiro</w:t>
      </w:r>
      <w:r>
        <w:rPr>
          <w:color w:val="000000"/>
          <w:sz w:val="22"/>
          <w:szCs w:val="22"/>
        </w:rPr>
        <w:t xml:space="preserve"> e os Licitantes, vedada outra forma de comunicação.</w:t>
      </w:r>
    </w:p>
    <w:p>
      <w:pPr>
        <w:pStyle w:val="2"/>
        <w:spacing w:before="360" w:after="0"/>
      </w:pPr>
      <w:bookmarkStart w:id="15" w:name="_Toc149517439"/>
      <w:r>
        <w:rPr>
          <w:rStyle w:val="45"/>
          <w:sz w:val="22"/>
          <w:szCs w:val="22"/>
        </w:rPr>
        <w:t>FORMULAÇÃO DE LANCES</w:t>
      </w:r>
      <w:bookmarkEnd w:id="15"/>
      <w:r>
        <w:rPr>
          <w:rStyle w:val="45"/>
          <w:sz w:val="22"/>
          <w:szCs w:val="22"/>
        </w:rPr>
        <w:t> </w:t>
      </w:r>
    </w:p>
    <w:p>
      <w:pPr>
        <w:pStyle w:val="3"/>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rPr>
          <w:color w:val="000000"/>
          <w:sz w:val="22"/>
          <w:szCs w:val="22"/>
        </w:rPr>
        <w:t>Aberta a etapa competitiva - sessão pública - as licitantes deverão encaminhar lances exclusivamente por meio do sistema eletrônico, sendo a licitante imediatamente informada, </w:t>
      </w:r>
      <w:r>
        <w:rPr>
          <w:i/>
          <w:iCs/>
          <w:color w:val="000000"/>
          <w:sz w:val="22"/>
          <w:szCs w:val="22"/>
        </w:rPr>
        <w:t>on-line</w:t>
      </w:r>
      <w:r>
        <w:rPr>
          <w:color w:val="000000"/>
          <w:sz w:val="22"/>
          <w:szCs w:val="22"/>
        </w:rPr>
        <w:t>, do seu recebimento e do valor consignado no registro.</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Os lances serão ofertados pelo valor unitário/total do item/lote único.</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 xml:space="preserve">As licitantes poderão oferecer lances sucessivos, observados o horário fixado para a abertura da sessão pública e as regras estabelecidas neste Edital. </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Caso o licitante não apresente lances, concorrerá com o valor de sua proposta.</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Durante o transcurso da sessão pública, os licitantes serão informados, em tempo real, do valor do menor lance registrado, vedada a identificação do licitante.</w:t>
      </w:r>
    </w:p>
    <w:p>
      <w:pPr>
        <w:pStyle w:val="3"/>
        <w:numPr>
          <w:ilvl w:val="1"/>
          <w:numId w:val="1"/>
        </w:numPr>
        <w:tabs>
          <w:tab w:val="left" w:pos="1134"/>
        </w:tabs>
        <w:spacing w:before="0" w:beforeAutospacing="0" w:after="0" w:afterAutospacing="0"/>
        <w:ind w:left="0" w:firstLine="567"/>
        <w:jc w:val="both"/>
        <w:textAlignment w:val="baseline"/>
      </w:pPr>
      <w:r>
        <w:rPr>
          <w:color w:val="000000"/>
          <w:sz w:val="22"/>
          <w:szCs w:val="22"/>
        </w:rPr>
        <w:t>A licitante somente poderá oferecer lance inferior ao último por ela ofertado e registrado pelo sistema eletrônico; porém, o lance poderá ser intermediário, ou seja, igual ou superior à melhor oferta registrada (</w:t>
      </w:r>
      <w:r>
        <w:fldChar w:fldCharType="begin"/>
      </w:r>
      <w:r>
        <w:rPr>
          <w:rStyle w:val="54"/>
          <w:sz w:val="22"/>
          <w:szCs w:val="22"/>
        </w:rPr>
        <w:instrText xml:space="preserve"> HYPERLINK "https://www.planalto.gov.br/ccivil_03/_ato2019-2022/2021/lei/l14133.htm" \l "art56"</w:instrText>
      </w:r>
      <w:r>
        <w:rPr>
          <w:rStyle w:val="54"/>
          <w:sz w:val="22"/>
          <w:szCs w:val="22"/>
        </w:rPr>
        <w:fldChar w:fldCharType="separate"/>
      </w:r>
      <w:r>
        <w:rPr>
          <w:rStyle w:val="54"/>
          <w:sz w:val="22"/>
          <w:szCs w:val="22"/>
        </w:rPr>
        <w:t>art. 56, §3º, II, da Lei Federal nº 14.133, de 2021</w:t>
      </w:r>
      <w:r>
        <w:rPr>
          <w:rStyle w:val="54"/>
          <w:sz w:val="22"/>
          <w:szCs w:val="22"/>
        </w:rPr>
        <w:fldChar w:fldCharType="end"/>
      </w:r>
      <w:r>
        <w:rPr>
          <w:color w:val="000000"/>
          <w:sz w:val="22"/>
          <w:szCs w:val="22"/>
        </w:rPr>
        <w:t>).</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Não serão aceitos dois ou mais lances de mesmo valor, prevalecendo aquele que for</w:t>
      </w:r>
      <w:r>
        <w:rPr>
          <w:color w:val="000000"/>
          <w:sz w:val="22"/>
          <w:szCs w:val="22"/>
        </w:rPr>
        <w:br w:type="textWrapping"/>
      </w:r>
      <w:r>
        <w:rPr>
          <w:color w:val="000000"/>
          <w:sz w:val="22"/>
          <w:szCs w:val="22"/>
        </w:rPr>
        <w:t>recebido e registrado em primeiro lugar.</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Caso seja ofertado lance inconsistente ou inexequível, a licitante poderá, uma única vez, excluir seu último lance ofertado, no interval</w:t>
      </w:r>
      <w:r>
        <w:rPr>
          <w:color w:val="000000"/>
          <w:sz w:val="22"/>
          <w:szCs w:val="22"/>
          <w:shd w:val="clear" w:fill="auto"/>
        </w:rPr>
        <w:t>o de 15 (quinze) segundos após o registro no sistem</w:t>
      </w:r>
      <w:r>
        <w:rPr>
          <w:color w:val="000000"/>
          <w:sz w:val="22"/>
          <w:szCs w:val="22"/>
        </w:rPr>
        <w:t>a.</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 xml:space="preserve">Como medida excepcional, o(a) </w:t>
      </w:r>
      <w:r>
        <w:rPr>
          <w:sz w:val="22"/>
          <w:szCs w:val="22"/>
        </w:rPr>
        <w:t>Pregoeiro</w:t>
      </w:r>
      <w:r>
        <w:rPr>
          <w:color w:val="000000"/>
          <w:sz w:val="22"/>
          <w:szCs w:val="22"/>
        </w:rPr>
        <w:t xml:space="preserve"> poderá excluir a proposta ou lance que possa comprometer, restringir ou frustrar o caráter competitivo do processo licitatório, mediante comunicação eletrônica automática via sistema, que implicará a retirada da licitante do certame, sem prejuízo do direito de defesa.</w:t>
      </w:r>
    </w:p>
    <w:p>
      <w:pPr>
        <w:pStyle w:val="3"/>
        <w:numPr>
          <w:ilvl w:val="1"/>
          <w:numId w:val="1"/>
        </w:numPr>
        <w:tabs>
          <w:tab w:val="left" w:pos="1134"/>
        </w:tabs>
        <w:spacing w:before="0" w:beforeAutospacing="0" w:after="0" w:afterAutospacing="0"/>
        <w:ind w:left="0" w:firstLine="567"/>
        <w:jc w:val="both"/>
        <w:textAlignment w:val="baseline"/>
      </w:pPr>
      <w:r>
        <w:rPr>
          <w:b/>
          <w:bCs/>
          <w:color w:val="000000"/>
          <w:sz w:val="22"/>
          <w:szCs w:val="22"/>
        </w:rPr>
        <w:t xml:space="preserve">Será adotado para o envio de lances neste </w:t>
      </w:r>
      <w:r>
        <w:rPr>
          <w:rStyle w:val="45"/>
          <w:b/>
          <w:bCs/>
          <w:color w:val="000000" w:themeColor="text1"/>
          <w:sz w:val="22"/>
          <w:szCs w:val="22"/>
        </w:rPr>
        <w:t>Pregão</w:t>
      </w:r>
      <w:r>
        <w:rPr>
          <w:b/>
          <w:bCs/>
          <w:color w:val="000000"/>
          <w:sz w:val="22"/>
          <w:szCs w:val="22"/>
        </w:rPr>
        <w:t xml:space="preserve"> o modo de disputa “aberto”, em que as licitantes apresentarão lances públicos e sucessivos, </w:t>
      </w:r>
      <w:r>
        <w:rPr>
          <w:b/>
          <w:bCs/>
          <w:color w:val="000000"/>
          <w:sz w:val="22"/>
          <w:szCs w:val="22"/>
          <w:lang w:val="pt-BR"/>
        </w:rPr>
        <w:t xml:space="preserve">inclusive o </w:t>
      </w:r>
      <w:r>
        <w:rPr>
          <w:b/>
          <w:bCs/>
          <w:color w:val="000000"/>
          <w:sz w:val="22"/>
          <w:szCs w:val="22"/>
        </w:rPr>
        <w:t>lance final.</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shd w:val="clear" w:fill="auto"/>
          <w:lang w:val="pt-BR"/>
        </w:rPr>
        <w:t xml:space="preserve"> O Item aberto para lance, antes de ser encerrado, entrará no tempo de iminência, de 01 (um) a 60 (sessenta) minutos, determinado pelo Pregoeiro(a). Decorrido o tempo de iminência, o item entrará no modo de disputa aberto, o qual terá a duração mínima de 10 (dez) minutos</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lang w:val="pt-BR"/>
        </w:rPr>
        <w:t>O tempo de que trata o item 15.11, será prorrogado automaticamente pelo sistema quando houver lance ofertado nos 02 (dois) últimos minutos do período de duração</w:t>
      </w:r>
      <w:r>
        <w:rPr>
          <w:color w:val="000000"/>
          <w:sz w:val="22"/>
          <w:szCs w:val="22"/>
        </w:rPr>
        <w:t>.</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lang w:val="pt-BR"/>
        </w:rPr>
        <w:t>O período de duração da disputa será prorrogado automaticamente por mais 02 (dois) minutos, sempre que houver lance enviado no período de prorrogação de que trata o item 15.12</w:t>
      </w:r>
      <w:r>
        <w:rPr>
          <w:color w:val="000000"/>
          <w:sz w:val="22"/>
          <w:szCs w:val="22"/>
        </w:rPr>
        <w:t xml:space="preserve">. </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lang w:val="pt-BR"/>
        </w:rPr>
        <w:t>Na hipótese de não haver novos lances nos termos do subitem 15.12. a disputa será encerrada automaticamente.</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sz w:val="22"/>
          <w:szCs w:val="22"/>
        </w:rPr>
        <w:t>Os lances apresentados e levados em consideração para efeito de julgamento serão de exclusiva e total responsabilidade de cada licitante, não lhe cabendo o direito de pleitear qualquer alteração posterior.</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sz w:val="22"/>
          <w:szCs w:val="22"/>
        </w:rPr>
        <w:t>Durante a etapa de disputa de lances, o Pregoeiro poderá EXCLUIR qualquer lance cujo valor seja considerado supostamente irrisório ou inexequível, ou até que entenda ter sido lançado erroneamente, cabendo ao sistema o encaminhamento de mensagem automática ao licitante, o qual terá a faculdade de repetir tal lance, caso confirme a exatidão do lance registrado.</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Após o término dos prazos estabelecidos nos itens anteriores, o sistema ordenará os lances segundo a ordem crescente de valores.</w:t>
      </w:r>
    </w:p>
    <w:p>
      <w:pPr>
        <w:pStyle w:val="3"/>
        <w:numPr>
          <w:ilvl w:val="1"/>
          <w:numId w:val="1"/>
        </w:numPr>
        <w:tabs>
          <w:tab w:val="left" w:pos="1134"/>
        </w:tabs>
        <w:spacing w:before="0" w:beforeAutospacing="0" w:after="0" w:afterAutospacing="0"/>
        <w:ind w:left="0" w:firstLine="567"/>
        <w:jc w:val="both"/>
        <w:textAlignment w:val="baseline"/>
      </w:pPr>
      <w:r>
        <w:rPr>
          <w:color w:val="000000"/>
          <w:sz w:val="22"/>
          <w:szCs w:val="22"/>
        </w:rPr>
        <w:t xml:space="preserve">As licitantes serão informadas, em tempo real, do valor do melhor lance registrado, durante a sessão pública do </w:t>
      </w:r>
      <w:r>
        <w:rPr>
          <w:rStyle w:val="45"/>
          <w:color w:val="000000" w:themeColor="text1"/>
          <w:sz w:val="22"/>
          <w:szCs w:val="22"/>
        </w:rPr>
        <w:t>Pregão</w:t>
      </w:r>
      <w:r>
        <w:rPr>
          <w:color w:val="000000"/>
          <w:sz w:val="22"/>
          <w:szCs w:val="22"/>
        </w:rPr>
        <w:t>, sendo vedada a identificação do seu detentor.</w:t>
      </w:r>
    </w:p>
    <w:p>
      <w:pPr>
        <w:pStyle w:val="2"/>
        <w:spacing w:before="360" w:after="0"/>
      </w:pPr>
      <w:bookmarkStart w:id="16" w:name="_Toc149517440"/>
      <w:r>
        <w:rPr>
          <w:rStyle w:val="45"/>
          <w:sz w:val="22"/>
          <w:szCs w:val="22"/>
        </w:rPr>
        <w:t>DESCONEXÃO DO</w:t>
      </w:r>
      <w:bookmarkEnd w:id="16"/>
      <w:r>
        <w:rPr>
          <w:rStyle w:val="45"/>
          <w:sz w:val="22"/>
          <w:szCs w:val="22"/>
        </w:rPr>
        <w:t xml:space="preserve"> PREGOEIRO</w:t>
      </w:r>
    </w:p>
    <w:p>
      <w:pPr>
        <w:pStyle w:val="3"/>
        <w:numPr>
          <w:ilvl w:val="1"/>
          <w:numId w:val="1"/>
        </w:numPr>
        <w:tabs>
          <w:tab w:val="left" w:pos="1134"/>
        </w:tabs>
        <w:spacing w:before="120" w:beforeAutospacing="0" w:after="0" w:afterAutospacing="0"/>
        <w:ind w:left="0" w:firstLine="567"/>
        <w:jc w:val="both"/>
        <w:textAlignment w:val="baseline"/>
      </w:pPr>
      <w:r>
        <w:rPr>
          <w:color w:val="000000"/>
          <w:sz w:val="22"/>
          <w:szCs w:val="22"/>
        </w:rPr>
        <w:t xml:space="preserve">No caso de desconexão do </w:t>
      </w:r>
      <w:r>
        <w:rPr>
          <w:sz w:val="22"/>
          <w:szCs w:val="22"/>
        </w:rPr>
        <w:t>Pregoeiro</w:t>
      </w:r>
      <w:r>
        <w:rPr>
          <w:color w:val="000000"/>
          <w:sz w:val="22"/>
          <w:szCs w:val="22"/>
        </w:rPr>
        <w:t xml:space="preserve">, no decorrer da etapa competitiva do </w:t>
      </w:r>
      <w:r>
        <w:rPr>
          <w:rStyle w:val="45"/>
          <w:color w:val="000000" w:themeColor="text1"/>
          <w:sz w:val="22"/>
          <w:szCs w:val="22"/>
        </w:rPr>
        <w:t>Pregão</w:t>
      </w:r>
      <w:r>
        <w:rPr>
          <w:color w:val="000000"/>
          <w:sz w:val="22"/>
          <w:szCs w:val="22"/>
        </w:rPr>
        <w:t xml:space="preserve">, o sistema poderá permanecer acessível às licitantes para a recepção dos lances, retornando o </w:t>
      </w:r>
      <w:r>
        <w:rPr>
          <w:sz w:val="22"/>
          <w:szCs w:val="22"/>
        </w:rPr>
        <w:t>Pregoeiro</w:t>
      </w:r>
      <w:r>
        <w:rPr>
          <w:color w:val="000000"/>
          <w:sz w:val="22"/>
          <w:szCs w:val="22"/>
        </w:rPr>
        <w:t>, quando possível, sua atuação no certame, sem prejuízo dos atos realizados.</w:t>
      </w:r>
    </w:p>
    <w:p>
      <w:pPr>
        <w:pStyle w:val="3"/>
        <w:numPr>
          <w:ilvl w:val="1"/>
          <w:numId w:val="1"/>
        </w:numPr>
        <w:tabs>
          <w:tab w:val="left" w:pos="1134"/>
        </w:tabs>
        <w:spacing w:before="0" w:beforeAutospacing="0" w:after="0" w:afterAutospacing="0"/>
        <w:ind w:left="0" w:firstLine="567"/>
        <w:jc w:val="both"/>
        <w:textAlignment w:val="baseline"/>
      </w:pPr>
      <w:r>
        <w:rPr>
          <w:color w:val="000000"/>
          <w:sz w:val="22"/>
          <w:szCs w:val="22"/>
        </w:rPr>
        <w:t xml:space="preserve">Quando a desconexão do </w:t>
      </w:r>
      <w:r>
        <w:rPr>
          <w:sz w:val="22"/>
          <w:szCs w:val="22"/>
        </w:rPr>
        <w:t>Pregoeiro</w:t>
      </w:r>
      <w:r>
        <w:rPr>
          <w:color w:val="000000"/>
          <w:sz w:val="22"/>
          <w:szCs w:val="22"/>
        </w:rPr>
        <w:t xml:space="preserve"> persistir </w:t>
      </w:r>
      <w:r>
        <w:rPr>
          <w:sz w:val="22"/>
          <w:szCs w:val="22"/>
        </w:rPr>
        <w:t>por</w:t>
      </w:r>
      <w:r>
        <w:rPr>
          <w:color w:val="000000"/>
          <w:sz w:val="22"/>
          <w:szCs w:val="22"/>
        </w:rPr>
        <w:t xml:space="preserve"> tempo superior a 10 (dez) minutos, a sessão do </w:t>
      </w:r>
      <w:r>
        <w:rPr>
          <w:rStyle w:val="45"/>
          <w:color w:val="000000" w:themeColor="text1"/>
          <w:sz w:val="22"/>
          <w:szCs w:val="22"/>
        </w:rPr>
        <w:t>Pregão</w:t>
      </w:r>
      <w:r>
        <w:rPr>
          <w:color w:val="000000"/>
          <w:sz w:val="22"/>
          <w:szCs w:val="22"/>
        </w:rPr>
        <w:t xml:space="preserve"> será suspensa e reiniciada somente após a comunicação expressa aos participantes, com no mínimo, 12 (doze) horas de antecedência, no </w:t>
      </w:r>
      <w:r>
        <w:rPr>
          <w:sz w:val="22"/>
          <w:szCs w:val="22"/>
        </w:rPr>
        <w:t xml:space="preserve">Portal Licitanet, disponível no endereço eletrônico: </w:t>
      </w:r>
      <w:r>
        <w:fldChar w:fldCharType="begin"/>
      </w:r>
      <w:r>
        <w:instrText xml:space="preserve"> HYPERLINK "https://www.licitanet.com.br/" \h </w:instrText>
      </w:r>
      <w:r>
        <w:fldChar w:fldCharType="separate"/>
      </w:r>
      <w:r>
        <w:rPr>
          <w:rStyle w:val="54"/>
          <w:sz w:val="22"/>
          <w:szCs w:val="22"/>
        </w:rPr>
        <w:t>https://www.licitanet.com.br/</w:t>
      </w:r>
      <w:r>
        <w:rPr>
          <w:rStyle w:val="54"/>
          <w:sz w:val="22"/>
          <w:szCs w:val="22"/>
        </w:rPr>
        <w:fldChar w:fldCharType="end"/>
      </w:r>
      <w:r>
        <w:rPr>
          <w:color w:val="000000"/>
          <w:sz w:val="22"/>
          <w:szCs w:val="22"/>
        </w:rPr>
        <w:t>.</w:t>
      </w:r>
    </w:p>
    <w:p>
      <w:pPr>
        <w:pStyle w:val="2"/>
        <w:spacing w:before="360" w:after="0"/>
      </w:pPr>
      <w:bookmarkStart w:id="17" w:name="_Toc149517441"/>
      <w:r>
        <w:rPr>
          <w:rStyle w:val="45"/>
          <w:sz w:val="22"/>
          <w:szCs w:val="22"/>
        </w:rPr>
        <w:t>BENEFÍCIOS ÀS MICROEMPRESAS</w:t>
      </w:r>
      <w:r>
        <w:rPr>
          <w:rStyle w:val="45"/>
          <w:sz w:val="22"/>
          <w:szCs w:val="22"/>
          <w:lang w:val="pt-BR"/>
        </w:rPr>
        <w:t>,</w:t>
      </w:r>
      <w:r>
        <w:rPr>
          <w:rStyle w:val="45"/>
          <w:sz w:val="22"/>
          <w:szCs w:val="22"/>
        </w:rPr>
        <w:t xml:space="preserve"> EMPRESAS DE PEQUENO PORTE</w:t>
      </w:r>
      <w:bookmarkEnd w:id="17"/>
      <w:r>
        <w:rPr>
          <w:rStyle w:val="45"/>
          <w:sz w:val="22"/>
          <w:szCs w:val="22"/>
          <w:lang w:val="pt-BR"/>
        </w:rPr>
        <w:t xml:space="preserve"> E REGIONAIS</w:t>
      </w:r>
    </w:p>
    <w:p>
      <w:pPr>
        <w:pStyle w:val="3"/>
        <w:numPr>
          <w:ilvl w:val="1"/>
          <w:numId w:val="1"/>
        </w:numPr>
        <w:tabs>
          <w:tab w:val="left" w:pos="1134"/>
        </w:tabs>
        <w:spacing w:before="120" w:beforeAutospacing="0" w:after="0" w:afterAutospacing="0"/>
        <w:ind w:left="0" w:firstLine="567"/>
        <w:jc w:val="both"/>
        <w:textAlignment w:val="baseline"/>
      </w:pPr>
      <w:r>
        <w:rPr>
          <w:color w:val="000000"/>
          <w:sz w:val="22"/>
          <w:szCs w:val="22"/>
        </w:rPr>
        <w:t xml:space="preserve">A obtenção de benefícios previstos dos </w:t>
      </w:r>
      <w:r>
        <w:fldChar w:fldCharType="begin"/>
      </w:r>
      <w:r>
        <w:rPr>
          <w:rStyle w:val="54"/>
          <w:sz w:val="22"/>
          <w:szCs w:val="22"/>
        </w:rPr>
        <w:instrText xml:space="preserve"> HYPERLINK "https://www.planalto.gov.br/ccivil_03/leis/lcp/lcp123.htm" \l "art42"</w:instrText>
      </w:r>
      <w:r>
        <w:rPr>
          <w:rStyle w:val="54"/>
          <w:sz w:val="22"/>
          <w:szCs w:val="22"/>
        </w:rPr>
        <w:fldChar w:fldCharType="separate"/>
      </w:r>
      <w:r>
        <w:rPr>
          <w:rStyle w:val="54"/>
          <w:sz w:val="22"/>
          <w:szCs w:val="22"/>
        </w:rPr>
        <w:t>artigos 42 a 49 da Lei Complementar Federal nº 123, de 2006</w:t>
      </w:r>
      <w:r>
        <w:rPr>
          <w:rStyle w:val="54"/>
          <w:sz w:val="22"/>
          <w:szCs w:val="22"/>
        </w:rPr>
        <w:fldChar w:fldCharType="end"/>
      </w:r>
      <w:r>
        <w:rPr>
          <w:color w:val="000000"/>
          <w:sz w:val="22"/>
          <w:szCs w:val="22"/>
        </w:rPr>
        <w:t xml:space="preserve"> fica limitada às microempresas (ME) e às empresas de pequeno porte (EPP)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para fins de habilitação.</w:t>
      </w:r>
    </w:p>
    <w:p>
      <w:pPr>
        <w:pStyle w:val="3"/>
        <w:numPr>
          <w:ilvl w:val="1"/>
          <w:numId w:val="1"/>
        </w:numPr>
        <w:tabs>
          <w:tab w:val="left" w:pos="1134"/>
        </w:tabs>
        <w:spacing w:before="0" w:beforeAutospacing="0" w:after="0" w:afterAutospacing="0"/>
        <w:ind w:left="0" w:firstLine="567"/>
        <w:jc w:val="both"/>
        <w:textAlignment w:val="baseline"/>
      </w:pPr>
      <w:r>
        <w:rPr>
          <w:sz w:val="22"/>
          <w:szCs w:val="22"/>
        </w:rPr>
        <w:t xml:space="preserve">O licitante enquadrado como microempresa ou empresa de pequeno porte deverá declarar, ainda, em campo próprio do sistema eletrônico, que cumpre os requisitos estabelecidos no </w:t>
      </w:r>
      <w:r>
        <w:fldChar w:fldCharType="begin"/>
      </w:r>
      <w:r>
        <w:rPr>
          <w:rStyle w:val="54"/>
          <w:sz w:val="22"/>
          <w:szCs w:val="22"/>
        </w:rPr>
        <w:instrText xml:space="preserve"> HYPERLINK "https://www.planalto.gov.br/ccivil_03/leis/lcp/lcp123.htm" \l "art3"</w:instrText>
      </w:r>
      <w:r>
        <w:rPr>
          <w:rStyle w:val="54"/>
          <w:sz w:val="22"/>
          <w:szCs w:val="22"/>
        </w:rPr>
        <w:fldChar w:fldCharType="separate"/>
      </w:r>
      <w:r>
        <w:rPr>
          <w:rStyle w:val="54"/>
          <w:sz w:val="22"/>
          <w:szCs w:val="22"/>
        </w:rPr>
        <w:t>artigo 3° da Lei Complementar Federal nº 123, de 2006</w:t>
      </w:r>
      <w:r>
        <w:rPr>
          <w:rStyle w:val="54"/>
          <w:sz w:val="22"/>
          <w:szCs w:val="22"/>
        </w:rPr>
        <w:fldChar w:fldCharType="end"/>
      </w:r>
      <w:r>
        <w:rPr>
          <w:sz w:val="22"/>
          <w:szCs w:val="22"/>
        </w:rPr>
        <w:t xml:space="preserve">, estando apto a usufruir do tratamento favorecido estabelecido nos </w:t>
      </w:r>
      <w:r>
        <w:fldChar w:fldCharType="begin"/>
      </w:r>
      <w:r>
        <w:rPr>
          <w:rStyle w:val="54"/>
          <w:sz w:val="22"/>
          <w:szCs w:val="22"/>
        </w:rPr>
        <w:instrText xml:space="preserve"> HYPERLINK "https://www.planalto.gov.br/ccivil_03/leis/lcp/lcp123.htm" \l "art42"</w:instrText>
      </w:r>
      <w:r>
        <w:rPr>
          <w:rStyle w:val="54"/>
          <w:sz w:val="22"/>
          <w:szCs w:val="22"/>
        </w:rPr>
        <w:fldChar w:fldCharType="separate"/>
      </w:r>
      <w:r>
        <w:rPr>
          <w:rStyle w:val="54"/>
          <w:sz w:val="22"/>
          <w:szCs w:val="22"/>
        </w:rPr>
        <w:t>arts. 42 a 49 da Lei Complementar Federal nº 123, de 2006</w:t>
      </w:r>
      <w:r>
        <w:rPr>
          <w:rStyle w:val="54"/>
          <w:sz w:val="22"/>
          <w:szCs w:val="22"/>
        </w:rPr>
        <w:fldChar w:fldCharType="end"/>
      </w:r>
      <w:r>
        <w:rPr>
          <w:sz w:val="22"/>
          <w:szCs w:val="22"/>
        </w:rPr>
        <w:t xml:space="preserve">, observado o disposto nos </w:t>
      </w:r>
      <w:r>
        <w:fldChar w:fldCharType="begin"/>
      </w:r>
      <w:r>
        <w:rPr>
          <w:rStyle w:val="54"/>
          <w:sz w:val="22"/>
          <w:szCs w:val="22"/>
        </w:rPr>
        <w:instrText xml:space="preserve"> HYPERLINK "http://www.planalto.gov.br/ccivil_03/_ato2019-2022/2021/lei/L14133.htm" \l "art4§1"</w:instrText>
      </w:r>
      <w:r>
        <w:rPr>
          <w:rStyle w:val="54"/>
          <w:sz w:val="22"/>
          <w:szCs w:val="22"/>
        </w:rPr>
        <w:fldChar w:fldCharType="separate"/>
      </w:r>
      <w:r>
        <w:rPr>
          <w:rStyle w:val="54"/>
          <w:sz w:val="22"/>
          <w:szCs w:val="22"/>
        </w:rPr>
        <w:t>art. 4º, §§ 1º ao 3º, da Lei Federal nº 14.133, de 2021.</w:t>
      </w:r>
      <w:r>
        <w:rPr>
          <w:rStyle w:val="54"/>
          <w:sz w:val="22"/>
          <w:szCs w:val="22"/>
        </w:rPr>
        <w:fldChar w:fldCharType="end"/>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 xml:space="preserve">Após a fase de lances, o sistema </w:t>
      </w:r>
      <w:r>
        <w:rPr>
          <w:sz w:val="22"/>
          <w:szCs w:val="22"/>
        </w:rPr>
        <w:t>identificará</w:t>
      </w:r>
      <w:r>
        <w:rPr>
          <w:color w:val="000000"/>
          <w:sz w:val="22"/>
          <w:szCs w:val="22"/>
        </w:rPr>
        <w:t xml:space="preserve"> em coluna própria as microempresas (ME) e empresas de pequeno porte (EPP) participantes, fazendo a comparação entre os valores da primeira colocada, caso esta não seja uma ME ou EPP, e das demais ME ou EPP na ordem de classificação, que será disponibilizada automaticamente nas telas do(a) </w:t>
      </w:r>
      <w:r>
        <w:rPr>
          <w:sz w:val="22"/>
          <w:szCs w:val="22"/>
        </w:rPr>
        <w:t>Pregoeiro</w:t>
      </w:r>
      <w:r>
        <w:rPr>
          <w:color w:val="000000"/>
          <w:sz w:val="22"/>
          <w:szCs w:val="22"/>
        </w:rPr>
        <w:t xml:space="preserve"> e do fornecedor e encaminhada em</w:t>
      </w:r>
      <w:r>
        <w:rPr>
          <w:color w:val="00B050"/>
          <w:sz w:val="22"/>
          <w:szCs w:val="22"/>
        </w:rPr>
        <w:t xml:space="preserve"> </w:t>
      </w:r>
      <w:r>
        <w:rPr>
          <w:color w:val="000000"/>
          <w:sz w:val="22"/>
          <w:szCs w:val="22"/>
        </w:rPr>
        <w:t>mensagem por meio de </w:t>
      </w:r>
      <w:r>
        <w:rPr>
          <w:i/>
          <w:iCs/>
          <w:color w:val="000000"/>
          <w:sz w:val="22"/>
          <w:szCs w:val="22"/>
        </w:rPr>
        <w:t>chat</w:t>
      </w:r>
      <w:r>
        <w:rPr>
          <w:color w:val="000000"/>
          <w:sz w:val="22"/>
          <w:szCs w:val="22"/>
        </w:rPr>
        <w:t>.</w:t>
      </w:r>
    </w:p>
    <w:p>
      <w:pPr>
        <w:pStyle w:val="3"/>
        <w:numPr>
          <w:ilvl w:val="1"/>
          <w:numId w:val="1"/>
        </w:numPr>
        <w:tabs>
          <w:tab w:val="left" w:pos="1134"/>
        </w:tabs>
        <w:spacing w:before="0" w:beforeAutospacing="0" w:after="0" w:afterAutospacing="0"/>
        <w:ind w:left="0" w:firstLine="567"/>
        <w:jc w:val="both"/>
        <w:textAlignment w:val="baseline"/>
      </w:pPr>
      <w:r>
        <w:rPr>
          <w:sz w:val="22"/>
          <w:szCs w:val="22"/>
        </w:rPr>
        <w:t>Quanto aos ITENS, na fase de PROPOSTA será concedido TRATAMENTO DIFERENCIADO às ME's e EPP's, caso a proposta mais bem classificada tenha sido ofertada por empresa de médio ou grande porte e haja proposta apresentada por ME/EPP de valor até 10% (dez por cento) superior ao da melhor proposta, oportunidade em que o Portal Licitanet (</w:t>
      </w:r>
      <w:r>
        <w:fldChar w:fldCharType="begin"/>
      </w:r>
      <w:r>
        <w:instrText xml:space="preserve"> HYPERLINK "https://www.licitanet.com.br/" \h </w:instrText>
      </w:r>
      <w:r>
        <w:fldChar w:fldCharType="separate"/>
      </w:r>
      <w:r>
        <w:rPr>
          <w:rStyle w:val="54"/>
          <w:sz w:val="22"/>
          <w:szCs w:val="22"/>
        </w:rPr>
        <w:t>https://www.licitanet.com.br/</w:t>
      </w:r>
      <w:r>
        <w:rPr>
          <w:rStyle w:val="54"/>
          <w:sz w:val="22"/>
          <w:szCs w:val="22"/>
        </w:rPr>
        <w:fldChar w:fldCharType="end"/>
      </w:r>
      <w:r>
        <w:rPr>
          <w:sz w:val="22"/>
          <w:szCs w:val="22"/>
        </w:rPr>
        <w:t>), automaticamente, procederá da seguinte forma:</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sz w:val="22"/>
          <w:szCs w:val="22"/>
        </w:rPr>
        <w:t>A ME/EPP mais bem classificada poderá, no prazo de 5 (cinco) minutos, apresentar proposta de preço inferior a do licitante mais bem classificado e, atendidas as exigências deste Edital e seus Anexos, será reclassificada como melhor proposta do certame;</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sz w:val="22"/>
          <w:szCs w:val="22"/>
        </w:rPr>
        <w:t xml:space="preserve">não sendo registrado um novo lance pela ME/EPP convocada através do sistema na forma do subitem anterior, e havendo outros licitantes que se enquadrem na condição prevista no </w:t>
      </w:r>
      <w:r>
        <w:rPr>
          <w:i/>
          <w:iCs/>
          <w:sz w:val="22"/>
          <w:szCs w:val="22"/>
        </w:rPr>
        <w:t>caput</w:t>
      </w:r>
      <w:r>
        <w:rPr>
          <w:sz w:val="22"/>
          <w:szCs w:val="22"/>
        </w:rPr>
        <w:t>, estes serão convocados, na ordem classificatória, para o exercício do mesmo direito, também no prazo de 5 (cinco) minutos;</w:t>
      </w:r>
    </w:p>
    <w:p>
      <w:pPr>
        <w:pStyle w:val="3"/>
        <w:numPr>
          <w:ilvl w:val="2"/>
          <w:numId w:val="1"/>
        </w:numPr>
        <w:tabs>
          <w:tab w:val="left" w:pos="1134"/>
        </w:tabs>
        <w:spacing w:before="0" w:beforeAutospacing="0" w:after="0" w:afterAutospacing="0"/>
        <w:jc w:val="both"/>
        <w:textAlignment w:val="baseline"/>
      </w:pPr>
      <w:r>
        <w:rPr>
          <w:sz w:val="22"/>
          <w:szCs w:val="22"/>
        </w:rPr>
        <w:t xml:space="preserve">havendo empate de valor entre duas empresas beneficiárias do direito de preferência fixada na </w:t>
      </w:r>
      <w:r>
        <w:fldChar w:fldCharType="begin"/>
      </w:r>
      <w:r>
        <w:instrText xml:space="preserve"> HYPERLINK "https://www.planalto.gov.br/ccivil_03/leis/lcp/lcp123.htm" \h </w:instrText>
      </w:r>
      <w:r>
        <w:fldChar w:fldCharType="separate"/>
      </w:r>
      <w:r>
        <w:rPr>
          <w:rStyle w:val="54"/>
          <w:sz w:val="22"/>
          <w:szCs w:val="22"/>
        </w:rPr>
        <w:t>Lei Complementar Federal nº 123, de 2006</w:t>
      </w:r>
      <w:r>
        <w:rPr>
          <w:rStyle w:val="54"/>
          <w:sz w:val="22"/>
          <w:szCs w:val="22"/>
        </w:rPr>
        <w:fldChar w:fldCharType="end"/>
      </w:r>
      <w:r>
        <w:rPr>
          <w:sz w:val="22"/>
          <w:szCs w:val="22"/>
        </w:rPr>
        <w:t>, exercerá tal direito prioritariamente aquela cuja proposta tenha sido recebida e registrada pelo sistema primeiramente;</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sz w:val="22"/>
          <w:szCs w:val="22"/>
        </w:rPr>
        <w:t>o sistema encaminhará mensagem automática, por meio do “chat”, convocando a ME/EPP mais bem classificada a fazer sua última oferta no prazo de 5 (cinco) minutos, sob pena de decadência do direito concedido;</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sz w:val="22"/>
          <w:szCs w:val="22"/>
        </w:rPr>
        <w:t>na hipótese em que nenhuma dos licitantes exerça o direito de tratamento diferenciado, será mantida a ordem classificatória do certame.</w:t>
      </w:r>
    </w:p>
    <w:p>
      <w:pPr>
        <w:pStyle w:val="3"/>
        <w:numPr>
          <w:ilvl w:val="1"/>
          <w:numId w:val="1"/>
        </w:numPr>
        <w:tabs>
          <w:tab w:val="left" w:pos="1134"/>
        </w:tabs>
        <w:spacing w:before="0" w:beforeAutospacing="0" w:after="0" w:afterAutospacing="0"/>
        <w:jc w:val="both"/>
        <w:textAlignment w:val="baseline"/>
      </w:pPr>
      <w:r>
        <w:t xml:space="preserve">Na fase de HABILITAÇÃO, será concedido TRATAMENTO DIFERENCIADO às ME's/EPP's que estejam com problemas de REGULARIDADE FISCAL, SOCIAL E TRABALHISTA, à luz do disposto nos </w:t>
      </w:r>
      <w:r>
        <w:fldChar w:fldCharType="begin"/>
      </w:r>
      <w:r>
        <w:rPr>
          <w:rStyle w:val="54"/>
        </w:rPr>
        <w:instrText xml:space="preserve"> HYPERLINK "https://www.planalto.gov.br/ccivil_03/leis/lcp/lcp123.htm" \l "art42"</w:instrText>
      </w:r>
      <w:r>
        <w:rPr>
          <w:rStyle w:val="54"/>
        </w:rPr>
        <w:fldChar w:fldCharType="separate"/>
      </w:r>
      <w:r>
        <w:rPr>
          <w:rStyle w:val="54"/>
        </w:rPr>
        <w:t>arts. 42 e 43 da Lei Complementar Federal nº 123, de 2006</w:t>
      </w:r>
      <w:r>
        <w:rPr>
          <w:rStyle w:val="54"/>
        </w:rPr>
        <w:fldChar w:fldCharType="end"/>
      </w:r>
      <w:r>
        <w:t>, conforme as seguintes regras:</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t>em se tratando de ME/EPP com alguma RESTRIÇÃO na comprovação da HABILITAÇÃO FISCAL, SOCIAL E TRABALHISTA, deverá(ão) ser apresentada(s) e juntada(s) aos autos a(s) respectiva(s) certidão(ões) com validade vencida ou com restrição, sendo aceita a situação parcial de irregularidade ali comprovada, julgando-se “habilitada” no certame empresa(s) nessa situação;</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t>será assegurado o prazo de 5 (cinco) dias úteis, prorrogáveis por igual período, a critério da Administração, para a regularização da documentação, pagamento ou parcelamento do débito, e emissão de eventuais certidões;</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t>a não regularização da documentação fiscal, social ou trabalhista, implicará na decadência do direito à contratação, sem prejuízo das sanções previstas neste Edital e seus Anexos;</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t>no caso de decadência do direito por não regularização da situação, será facultada à Câmara Municipal de Primavera do Leste – MT a convocação dos licitantes remanescentes, na ordem de classificação.</w:t>
      </w:r>
    </w:p>
    <w:p>
      <w:pPr>
        <w:pStyle w:val="3"/>
        <w:numPr>
          <w:ilvl w:val="1"/>
          <w:numId w:val="1"/>
        </w:numPr>
        <w:tabs>
          <w:tab w:val="left" w:pos="1134"/>
        </w:tabs>
        <w:spacing w:before="0" w:beforeAutospacing="0" w:after="0" w:afterAutospacing="0"/>
        <w:jc w:val="both"/>
        <w:textAlignment w:val="baseline"/>
        <w:rPr>
          <w:rFonts w:ascii="Times New Roman" w:hAnsi="Times New Roman"/>
        </w:rPr>
      </w:pPr>
      <w:r>
        <w:rPr>
          <w:lang w:val="pt-BR"/>
        </w:rPr>
        <w:t xml:space="preserve">A fim de cumprir o disposto no </w:t>
      </w:r>
      <w:r>
        <w:rPr>
          <w:b/>
          <w:bCs/>
          <w:lang w:val="pt-BR"/>
        </w:rPr>
        <w:t>Artigo 3º da Lei Municipal 1.953 de 27/05/2021</w:t>
      </w:r>
      <w:r>
        <w:rPr>
          <w:lang w:val="pt-BR"/>
        </w:rPr>
        <w:t xml:space="preserve">, a prioridade de contratação com a microempresas e empresas de pequeno porte sediadas local ou regionalmente, até o limite de </w:t>
      </w:r>
      <w:r>
        <w:rPr>
          <w:b/>
          <w:bCs/>
          <w:lang w:val="pt-BR"/>
        </w:rPr>
        <w:t>10% (dez por cento)</w:t>
      </w:r>
      <w:r>
        <w:rPr>
          <w:lang w:val="pt-BR"/>
        </w:rPr>
        <w:t xml:space="preserve"> do melhor preço válido, proporciona a está o direito de ofertar um preço menor do que aquela classificada (empate Ficto).</w:t>
      </w:r>
    </w:p>
    <w:p>
      <w:pPr>
        <w:pStyle w:val="3"/>
        <w:numPr>
          <w:ilvl w:val="1"/>
          <w:numId w:val="1"/>
        </w:numPr>
        <w:tabs>
          <w:tab w:val="left" w:pos="1134"/>
        </w:tabs>
        <w:spacing w:before="0" w:beforeAutospacing="0" w:after="0" w:afterAutospacing="0"/>
        <w:jc w:val="both"/>
        <w:textAlignment w:val="baseline"/>
        <w:rPr>
          <w:rFonts w:ascii="Times New Roman" w:hAnsi="Times New Roman"/>
        </w:rPr>
      </w:pPr>
      <w:r>
        <w:rPr>
          <w:lang w:val="pt-BR"/>
        </w:rPr>
        <w:t>Em consonância com o Anexo IV da Lei nº 10.340, de 19 de novembro de 2015 pertencem a regionalidade da REGIÃO V – SUDESTE as cidades: Rondonópolis (Cidade Polo), Gaúcha do Norte, Paranatinga, Santo Antônio do Leste, Campo Verde, Primavera do Leste, Dom Aquino, Poxoréu, Tesouro, Jaciara, São Pedro da Cipa, Juscimeira, Pedra Preta, Guiratinga, São José do Povo, Alto Garças, Itiquira, Alto Araguaia, Alto Taquari.</w:t>
      </w:r>
    </w:p>
    <w:p>
      <w:pPr>
        <w:pStyle w:val="3"/>
        <w:numPr>
          <w:ilvl w:val="1"/>
          <w:numId w:val="1"/>
        </w:numPr>
        <w:tabs>
          <w:tab w:val="left" w:pos="1134"/>
        </w:tabs>
        <w:spacing w:before="0" w:beforeAutospacing="0" w:after="0" w:afterAutospacing="0"/>
        <w:jc w:val="both"/>
        <w:textAlignment w:val="baseline"/>
        <w:rPr>
          <w:rFonts w:ascii="Times New Roman" w:hAnsi="Times New Roman"/>
        </w:rPr>
      </w:pPr>
      <w:r>
        <w:rPr>
          <w:lang w:val="pt-BR"/>
        </w:rPr>
        <w:t>Realizada  etapa descrita no item 18.7, e não havendo menor proposta por parte de ME e EPP sediadas local ou regionalmente, será aberta a possibilidade de que outras ME e EPP possam oferecer proposta inferior a melhor proposta, desde que seja até 5% maior (empate ficto).</w:t>
      </w:r>
    </w:p>
    <w:p>
      <w:pPr>
        <w:pStyle w:val="2"/>
        <w:spacing w:before="360" w:after="0"/>
      </w:pPr>
      <w:bookmarkStart w:id="18" w:name="_Toc149517442"/>
      <w:r>
        <w:rPr>
          <w:rStyle w:val="45"/>
        </w:rPr>
        <w:t>EMPATE FICTO</w:t>
      </w:r>
      <w:bookmarkEnd w:id="18"/>
    </w:p>
    <w:p>
      <w:pPr>
        <w:pStyle w:val="3"/>
        <w:numPr>
          <w:ilvl w:val="1"/>
          <w:numId w:val="1"/>
        </w:numPr>
        <w:tabs>
          <w:tab w:val="left" w:pos="1134"/>
        </w:tabs>
        <w:spacing w:before="120" w:beforeAutospacing="0" w:after="0" w:afterAutospacing="0"/>
        <w:ind w:left="0" w:firstLine="567"/>
        <w:jc w:val="both"/>
        <w:textAlignment w:val="baseline"/>
      </w:pPr>
      <w:r>
        <w:rPr>
          <w:color w:val="000000"/>
        </w:rPr>
        <w:t xml:space="preserve">Se o melhor lance for ofertado por licitante que não se enquadre na condição de ME ou EPP, o sistema facultará a estas o exercício do direito de preferência para fins de desempate, conforme determina o </w:t>
      </w:r>
      <w:r>
        <w:fldChar w:fldCharType="begin"/>
      </w:r>
      <w:r>
        <w:rPr>
          <w:rStyle w:val="54"/>
        </w:rPr>
        <w:instrText xml:space="preserve"> HYPERLINK "https://www.planalto.gov.br/ccivil_03/leis/lcp/lcp123.htm" \l "art44"</w:instrText>
      </w:r>
      <w:r>
        <w:rPr>
          <w:rStyle w:val="54"/>
        </w:rPr>
        <w:fldChar w:fldCharType="separate"/>
      </w:r>
      <w:r>
        <w:rPr>
          <w:rStyle w:val="54"/>
        </w:rPr>
        <w:t>art. 44, §2º, da Lei Complementar Federal nº 123, de 2006</w:t>
      </w:r>
      <w:r>
        <w:rPr>
          <w:rStyle w:val="54"/>
        </w:rPr>
        <w:fldChar w:fldCharType="end"/>
      </w:r>
      <w:r>
        <w:rPr>
          <w:color w:val="000000"/>
        </w:rPr>
        <w:t xml:space="preserve">, momento no qual a ME ou EPP mais bem classificada será convocada para apresentar nova proposta, no prazo máximo </w:t>
      </w:r>
      <w:r>
        <w:rPr>
          <w:color w:val="000000"/>
          <w:shd w:val="clear" w:fill="auto"/>
        </w:rPr>
        <w:t>de 5 (cinco) mi</w:t>
      </w:r>
      <w:r>
        <w:rPr>
          <w:color w:val="000000"/>
        </w:rPr>
        <w:t xml:space="preserve">nutos controlados pelo sistema, sob pena de preclusão, consoante determina o </w:t>
      </w:r>
      <w:r>
        <w:fldChar w:fldCharType="begin"/>
      </w:r>
      <w:r>
        <w:rPr>
          <w:rStyle w:val="54"/>
        </w:rPr>
        <w:instrText xml:space="preserve"> HYPERLINK "https://www.planalto.gov.br/ccivil_03/leis/lcp/lcp123.htm" \l "art45"</w:instrText>
      </w:r>
      <w:r>
        <w:rPr>
          <w:rStyle w:val="54"/>
        </w:rPr>
        <w:fldChar w:fldCharType="separate"/>
      </w:r>
      <w:r>
        <w:rPr>
          <w:rStyle w:val="54"/>
        </w:rPr>
        <w:t>art. 45, §3º, da Lei Complementar Federal nº 123, de 2006</w:t>
      </w:r>
      <w:r>
        <w:rPr>
          <w:rStyle w:val="54"/>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O direito de preferência de que trata o item anterior será concedido da seguinte forma:</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Ocorrendo o empate, a microempresa ou a empresa de pequeno porte melhor classificada poderá apresentar proposta de preço inferior àquela considerada vencedora do certame, situação em que será adjudicado o objeto em seu favor; e</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não ocorrendo a contratação da microempresa ou empresa de pequeno porte, na forma da alínea anterior, serão convocadas as remanescentes que porventura se enquadrem na situação de empate, na ordem classificatória, para o exercício do mesmo direito; e</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no caso de equivalência dos valores apresentados pelas microempresas e empresas de pequeno porte que se encontrem em situação de empate, será realizado sorteio entre elas para que se identifique aquela que primeiro poderá apresentar melhor oferta.</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Se houver equivalência de valores apresentados pelas MEs ou EPPs, que se encontrem no intervalo estabelecido no </w:t>
      </w:r>
      <w:r>
        <w:fldChar w:fldCharType="begin"/>
      </w:r>
      <w:r>
        <w:rPr>
          <w:rStyle w:val="54"/>
        </w:rPr>
        <w:instrText xml:space="preserve"> HYPERLINK "https://www.planalto.gov.br/ccivil_03/leis/lcp/lcp123.htm" \l "art44"</w:instrText>
      </w:r>
      <w:r>
        <w:rPr>
          <w:rStyle w:val="54"/>
        </w:rPr>
        <w:fldChar w:fldCharType="separate"/>
      </w:r>
      <w:r>
        <w:rPr>
          <w:rStyle w:val="54"/>
        </w:rPr>
        <w:t>art. 44, §2º, da Lei Complementar Federal nº 123, de 2006</w:t>
      </w:r>
      <w:r>
        <w:rPr>
          <w:rStyle w:val="54"/>
        </w:rPr>
        <w:fldChar w:fldCharType="end"/>
      </w:r>
      <w:r>
        <w:rPr>
          <w:color w:val="000000"/>
        </w:rPr>
        <w:t>, o sistema efetuará sorteio para identificar a empresa que primeiro poderá apresentar melhor oferta.</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Caso a ME ou EPP convocada decline de exercer o direito de preferência, o sistema convocará as remanescentes que porventura se enquadrem na hipótese do </w:t>
      </w:r>
      <w:r>
        <w:fldChar w:fldCharType="begin"/>
      </w:r>
      <w:r>
        <w:rPr>
          <w:rStyle w:val="54"/>
        </w:rPr>
        <w:instrText xml:space="preserve"> HYPERLINK "https://www.planalto.gov.br/ccivil_03/leis/lcp/lcp123.htm" \l "art44"</w:instrText>
      </w:r>
      <w:r>
        <w:rPr>
          <w:rStyle w:val="54"/>
        </w:rPr>
        <w:fldChar w:fldCharType="separate"/>
      </w:r>
      <w:r>
        <w:rPr>
          <w:rStyle w:val="54"/>
        </w:rPr>
        <w:t>art. 44, §2º, da Lei Complementar Federal nº 123, de 2006</w:t>
      </w:r>
      <w:r>
        <w:rPr>
          <w:rStyle w:val="54"/>
        </w:rPr>
        <w:fldChar w:fldCharType="end"/>
      </w:r>
      <w:r>
        <w:rPr>
          <w:color w:val="000000"/>
        </w:rPr>
        <w:t>, na ordem de classificação. </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Se houver êxito no procedimento especificado acima, o sistema disponibilizará nova classificação dos fornecedores para fins de aceitação pelo(a) </w:t>
      </w:r>
      <w:r>
        <w:t>Pregoeiro</w:t>
      </w:r>
      <w:r>
        <w:rPr>
          <w:color w:val="000000"/>
        </w:rPr>
        <w:t>. Não havendo êxito ou não existindo ME ou EPP participante, prevalecerá a classificação inicial.</w:t>
      </w:r>
    </w:p>
    <w:p>
      <w:pPr>
        <w:pStyle w:val="2"/>
        <w:spacing w:before="360" w:after="0"/>
      </w:pPr>
      <w:bookmarkStart w:id="19" w:name="_Toc149517443"/>
      <w:r>
        <w:rPr>
          <w:rStyle w:val="45"/>
        </w:rPr>
        <w:t>EMPATE REAL</w:t>
      </w:r>
      <w:bookmarkEnd w:id="19"/>
    </w:p>
    <w:p>
      <w:pPr>
        <w:pStyle w:val="3"/>
        <w:numPr>
          <w:ilvl w:val="1"/>
          <w:numId w:val="1"/>
        </w:numPr>
        <w:tabs>
          <w:tab w:val="left" w:pos="1134"/>
        </w:tabs>
        <w:spacing w:before="120" w:beforeAutospacing="0" w:after="0" w:afterAutospacing="0"/>
        <w:ind w:left="0" w:firstLine="567"/>
        <w:jc w:val="both"/>
        <w:textAlignment w:val="baseline"/>
      </w:pPr>
      <w:r>
        <w:rPr>
          <w:color w:val="000000"/>
        </w:rPr>
        <w:t xml:space="preserve">Em caso de empate entre 2 (duas) ou mais propostas, desde que não se enquadre em situação prevista nos </w:t>
      </w:r>
      <w:r>
        <w:fldChar w:fldCharType="begin"/>
      </w:r>
      <w:r>
        <w:rPr>
          <w:rStyle w:val="54"/>
        </w:rPr>
        <w:instrText xml:space="preserve"> HYPERLINK "https://www.planalto.gov.br/ccivil_03/leis/lcp/lcp123.htm" \l "art44"</w:instrText>
      </w:r>
      <w:r>
        <w:rPr>
          <w:rStyle w:val="54"/>
        </w:rPr>
        <w:fldChar w:fldCharType="separate"/>
      </w:r>
      <w:r>
        <w:rPr>
          <w:rStyle w:val="54"/>
        </w:rPr>
        <w:t>arts. 44 e 45 da Lei Complementar Federal nº 123, de 2006</w:t>
      </w:r>
      <w:r>
        <w:rPr>
          <w:rStyle w:val="54"/>
        </w:rPr>
        <w:fldChar w:fldCharType="end"/>
      </w:r>
      <w:r>
        <w:rPr>
          <w:color w:val="000000"/>
        </w:rPr>
        <w:t xml:space="preserve">, serão utilizados os critérios de desempate previstos no </w:t>
      </w:r>
      <w:r>
        <w:fldChar w:fldCharType="begin"/>
      </w:r>
      <w:r>
        <w:rPr>
          <w:rStyle w:val="54"/>
        </w:rPr>
        <w:instrText xml:space="preserve"> HYPERLINK "https://www.planalto.gov.br/ccivil_03/_ato2019-2022/2021/lei/l14133.htm" \l "art60"</w:instrText>
      </w:r>
      <w:r>
        <w:rPr>
          <w:rStyle w:val="54"/>
        </w:rPr>
        <w:fldChar w:fldCharType="separate"/>
      </w:r>
      <w:r>
        <w:rPr>
          <w:rStyle w:val="54"/>
        </w:rPr>
        <w:t>art. 60 da Lei Federal nº 14.133, de 2021</w:t>
      </w:r>
      <w:r>
        <w:rPr>
          <w:rStyle w:val="54"/>
        </w:rPr>
        <w:fldChar w:fldCharType="end"/>
      </w:r>
      <w:r>
        <w:rPr>
          <w:color w:val="000000"/>
        </w:rPr>
        <w:t>, naquela ordem, mesmo não havendo envio de lances na fase competitiva.</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Persistindo</w:t>
      </w:r>
      <w:r>
        <w:t xml:space="preserve"> o empate, será assegurada preferência, sucessivamente, aos produtos produzidos por:</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Empresas</w:t>
      </w:r>
      <w:r>
        <w:t xml:space="preserve"> brasileiras;</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Empresas</w:t>
      </w:r>
      <w:r>
        <w:t xml:space="preserve"> estabelecidas no território de Mato Grosso;</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Empresas</w:t>
      </w:r>
      <w:r>
        <w:t xml:space="preserve"> que invistam em pesquisa e no desenvolvimento de tecnologia no País;</w:t>
      </w:r>
    </w:p>
    <w:p>
      <w:pPr>
        <w:pStyle w:val="3"/>
        <w:numPr>
          <w:ilvl w:val="2"/>
          <w:numId w:val="1"/>
        </w:numPr>
        <w:tabs>
          <w:tab w:val="left" w:pos="1134"/>
        </w:tabs>
        <w:spacing w:before="0" w:beforeAutospacing="0" w:after="0" w:afterAutospacing="0"/>
        <w:jc w:val="both"/>
        <w:textAlignment w:val="baseline"/>
      </w:pPr>
      <w:r>
        <w:t xml:space="preserve">Empresas que comprovem a prática de mitigação, nos termos da </w:t>
      </w:r>
      <w:r>
        <w:fldChar w:fldCharType="begin"/>
      </w:r>
      <w:r>
        <w:instrText xml:space="preserve"> HYPERLINK "https://www.planalto.gov.br/ccivil_03/_ato2007-2010/2009/lei/l12187.htm" \h </w:instrText>
      </w:r>
      <w:r>
        <w:fldChar w:fldCharType="separate"/>
      </w:r>
      <w:r>
        <w:rPr>
          <w:rStyle w:val="54"/>
        </w:rPr>
        <w:t>Lei Federal nº 12.187, de 2009</w:t>
      </w:r>
      <w:r>
        <w:rPr>
          <w:rStyle w:val="54"/>
        </w:rPr>
        <w:fldChar w:fldCharType="end"/>
      </w:r>
      <w:r>
        <w:t>.</w:t>
      </w:r>
    </w:p>
    <w:p>
      <w:pPr>
        <w:pStyle w:val="3"/>
        <w:numPr>
          <w:ilvl w:val="0"/>
          <w:numId w:val="0"/>
        </w:numPr>
        <w:tabs>
          <w:tab w:val="left" w:pos="1134"/>
        </w:tabs>
        <w:spacing w:before="0" w:beforeAutospacing="0" w:after="0" w:afterAutospacing="0"/>
        <w:ind w:left="720" w:firstLine="0"/>
        <w:jc w:val="both"/>
        <w:textAlignment w:val="baseline"/>
        <w:rPr>
          <w:rFonts w:ascii="Times New Roman" w:hAnsi="Times New Roman"/>
        </w:rPr>
      </w:pPr>
    </w:p>
    <w:p>
      <w:pPr>
        <w:pStyle w:val="3"/>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pPr>
      <w:r>
        <w:rPr>
          <w:rStyle w:val="45"/>
          <w:b/>
          <w:bCs/>
        </w:rPr>
        <w:t>CONFORMIDADE DA PROPOSTA CLASSIFICADA EM PRIMEIRO LUGAR </w:t>
      </w:r>
    </w:p>
    <w:p>
      <w:pPr>
        <w:pStyle w:val="3"/>
        <w:numPr>
          <w:ilvl w:val="1"/>
          <w:numId w:val="1"/>
        </w:numPr>
        <w:tabs>
          <w:tab w:val="left" w:pos="1134"/>
        </w:tabs>
        <w:spacing w:before="0" w:beforeAutospacing="0" w:after="0" w:afterAutospacing="0"/>
        <w:ind w:left="0" w:firstLine="567"/>
        <w:jc w:val="both"/>
        <w:textAlignment w:val="baseline"/>
      </w:pPr>
      <w:r>
        <w:rPr>
          <w:color w:val="000000"/>
        </w:rPr>
        <w:t>Encerrada a etapa de lances, após observado o disposto no item “</w:t>
      </w:r>
      <w:r>
        <w:fldChar w:fldCharType="begin"/>
      </w:r>
      <w:r>
        <w:instrText xml:space="preserve"> HYPERLINK \l "_CONSÓRCIO" \h </w:instrText>
      </w:r>
      <w:r>
        <w:fldChar w:fldCharType="separate"/>
      </w:r>
      <w:r>
        <w:rPr>
          <w:rStyle w:val="54"/>
        </w:rPr>
        <w:t>8 - CONSÓRCIO</w:t>
      </w:r>
      <w:r>
        <w:rPr>
          <w:rStyle w:val="54"/>
        </w:rPr>
        <w:fldChar w:fldCharType="end"/>
      </w:r>
      <w:r>
        <w:rPr>
          <w:color w:val="000000"/>
        </w:rPr>
        <w:t xml:space="preserve">” deste Edital, o(a) </w:t>
      </w:r>
      <w:r>
        <w:t>Pregoeiro</w:t>
      </w:r>
      <w:r>
        <w:rPr>
          <w:color w:val="000000"/>
        </w:rPr>
        <w:t xml:space="preserve"> solicitará, no prazo de 2 (duas) horas, o envio da proposta classificada em primeiro lugar adequada ao último lance ofertado, e se necessário, dos documentos complementares, que será julgada pelo critério de menor preço unitário/total por item/lote e realizará a verificação da conformidade da proposta em relação ao objeto e à compatibilidade do preço em relação ao máximo para a contratação, conforme definido neste edital. </w:t>
      </w:r>
    </w:p>
    <w:p>
      <w:pPr>
        <w:pStyle w:val="3"/>
        <w:numPr>
          <w:ilvl w:val="0"/>
          <w:numId w:val="0"/>
        </w:numPr>
        <w:tabs>
          <w:tab w:val="left" w:pos="1134"/>
        </w:tabs>
        <w:spacing w:before="0" w:beforeAutospacing="0" w:after="0" w:afterAutospacing="0"/>
        <w:ind w:left="567" w:firstLine="0"/>
        <w:jc w:val="both"/>
        <w:textAlignment w:val="baseline"/>
        <w:rPr>
          <w:rFonts w:ascii="Times New Roman" w:hAnsi="Times New Roman"/>
          <w:color w:val="000000"/>
        </w:rPr>
      </w:pPr>
    </w:p>
    <w:p>
      <w:pPr>
        <w:pStyle w:val="3"/>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pPr>
      <w:r>
        <w:rPr>
          <w:rStyle w:val="45"/>
          <w:b/>
          <w:bCs/>
        </w:rPr>
        <w:t>NEGOCIAÇÃO</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Definido o resultado do julgamento, o(a) </w:t>
      </w:r>
      <w:r>
        <w:t>Pregoeiro</w:t>
      </w:r>
      <w:r>
        <w:rPr>
          <w:color w:val="000000"/>
        </w:rPr>
        <w:t xml:space="preserve"> poderá negociar condições mais vantajosas com o primeiro colocado, pelo sistema eletrônico, podendo, a negociação ser acompanhada pelos demais licitantes.</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Caso a proposta da licitante classificada em primeiro lugar apresente preço superior ao máximo para a contratação, o(a) </w:t>
      </w:r>
      <w:r>
        <w:t>Pregoeiro</w:t>
      </w:r>
      <w:r>
        <w:rPr>
          <w:color w:val="000000"/>
        </w:rPr>
        <w:t xml:space="preserve"> deverá negociar condições mais vantajosas, pelo sistema eletrônico, podendo, a negociação ser acompanhada pelos demais licitantes (</w:t>
      </w:r>
      <w:r>
        <w:fldChar w:fldCharType="begin"/>
      </w:r>
      <w:r>
        <w:rPr>
          <w:rStyle w:val="54"/>
        </w:rPr>
        <w:instrText xml:space="preserve"> HYPERLINK "https://www.planalto.gov.br/ccivil_03/_ato2019-2022/2021/lei/l14133.htm" \l "art61"</w:instrText>
      </w:r>
      <w:r>
        <w:rPr>
          <w:rStyle w:val="54"/>
        </w:rPr>
        <w:fldChar w:fldCharType="separate"/>
      </w:r>
      <w:r>
        <w:rPr>
          <w:rStyle w:val="54"/>
        </w:rPr>
        <w:t>art. 61, §1º, da Lei Federal nº 14.133, de 2021</w:t>
      </w:r>
      <w:r>
        <w:rPr>
          <w:rStyle w:val="54"/>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w:t>
      </w:r>
      <w:r>
        <w:fldChar w:fldCharType="begin"/>
      </w:r>
      <w:r>
        <w:rPr>
          <w:rStyle w:val="54"/>
        </w:rPr>
        <w:instrText xml:space="preserve"> HYPERLINK "https://www.planalto.gov.br/ccivil_03/_ato2019-2022/2021/lei/l14133.htm" \l "art60"</w:instrText>
      </w:r>
      <w:r>
        <w:rPr>
          <w:rStyle w:val="54"/>
        </w:rPr>
        <w:fldChar w:fldCharType="separate"/>
      </w:r>
      <w:r>
        <w:rPr>
          <w:rStyle w:val="54"/>
        </w:rPr>
        <w:t>art. 60 da Lei Federal nº 14.133, de 2021</w:t>
      </w:r>
      <w:r>
        <w:rPr>
          <w:rStyle w:val="54"/>
        </w:rPr>
        <w:fldChar w:fldCharType="end"/>
      </w:r>
      <w:r>
        <w:rPr>
          <w:color w:val="000000"/>
        </w:rPr>
        <w:t xml:space="preserve"> (</w:t>
      </w:r>
      <w:r>
        <w:fldChar w:fldCharType="begin"/>
      </w:r>
      <w:r>
        <w:rPr>
          <w:rStyle w:val="54"/>
        </w:rPr>
        <w:instrText xml:space="preserve"> HYPERLINK "https://www.planalto.gov.br/ccivil_03/_ato2019-2022/2021/lei/l14133.htm" \l "art61"</w:instrText>
      </w:r>
      <w:r>
        <w:rPr>
          <w:rStyle w:val="54"/>
        </w:rPr>
        <w:fldChar w:fldCharType="separate"/>
      </w:r>
      <w:r>
        <w:rPr>
          <w:rStyle w:val="54"/>
        </w:rPr>
        <w:t>art.61, §1º da Lei Federal nº 14.133, de 2021</w:t>
      </w:r>
      <w:r>
        <w:rPr>
          <w:rStyle w:val="54"/>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A proposta de preços classificada em primeiro lugar, ajustada ao valor final aceito pelo(a) </w:t>
      </w:r>
      <w:r>
        <w:t>Pregoeiro</w:t>
      </w:r>
      <w:r>
        <w:rPr>
          <w:color w:val="000000"/>
        </w:rPr>
        <w:t xml:space="preserve"> após a devida negociação, deverá ser anexada ao sistema eletrônico após solicitação do(a) </w:t>
      </w:r>
      <w:r>
        <w:t>Pregoeiro</w:t>
      </w:r>
      <w:r>
        <w:rPr>
          <w:color w:val="000000"/>
        </w:rPr>
        <w:t xml:space="preserve"> pela opção "Convocar Anexo", no prazo de 2 (duas) horas, contado de sua solicitação.</w:t>
      </w:r>
    </w:p>
    <w:p>
      <w:pPr>
        <w:pStyle w:val="2"/>
        <w:spacing w:before="360" w:after="0"/>
      </w:pPr>
      <w:bookmarkStart w:id="20" w:name="_Toc149517444"/>
      <w:r>
        <w:rPr>
          <w:rStyle w:val="45"/>
        </w:rPr>
        <w:t>DESCLASSIFICAÇÃO DE PROPOSTA</w:t>
      </w:r>
      <w:bookmarkEnd w:id="20"/>
    </w:p>
    <w:p>
      <w:pPr>
        <w:pStyle w:val="3"/>
        <w:numPr>
          <w:ilvl w:val="1"/>
          <w:numId w:val="1"/>
        </w:numPr>
        <w:tabs>
          <w:tab w:val="left" w:pos="1134"/>
        </w:tabs>
        <w:spacing w:before="120" w:beforeAutospacing="0" w:after="0" w:afterAutospacing="0"/>
        <w:ind w:left="0" w:firstLine="567"/>
        <w:jc w:val="both"/>
        <w:textAlignment w:val="baseline"/>
      </w:pPr>
      <w:r>
        <w:rPr>
          <w:color w:val="000000"/>
        </w:rPr>
        <w:t>Será desclassificada a proposta, que (</w:t>
      </w:r>
      <w:r>
        <w:fldChar w:fldCharType="begin"/>
      </w:r>
      <w:r>
        <w:rPr>
          <w:rStyle w:val="54"/>
        </w:rPr>
        <w:instrText xml:space="preserve"> HYPERLINK "https://www.planalto.gov.br/ccivil_03/_ato2019-2022/2021/lei/l14133.htm" \l "art59"</w:instrText>
      </w:r>
      <w:r>
        <w:rPr>
          <w:rStyle w:val="54"/>
        </w:rPr>
        <w:fldChar w:fldCharType="separate"/>
      </w:r>
      <w:r>
        <w:rPr>
          <w:rStyle w:val="54"/>
        </w:rPr>
        <w:t>art. 59, da Lei Federal nº 14.133, de 2021</w:t>
      </w:r>
      <w:r>
        <w:rPr>
          <w:rStyle w:val="54"/>
        </w:rPr>
        <w:fldChar w:fldCharType="end"/>
      </w:r>
      <w:r>
        <w:rPr>
          <w:color w:val="000000"/>
        </w:rPr>
        <w:t>):</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contiverem vícios insanáveis;</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 xml:space="preserve"> obedecerem às especificações técnicas pormenorizadas no edital;</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presentarem preços inexequíveis e não tiverem sua exequibilidade demonstrada, quando exigido pela Administração;</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com preço superior ao estimado para a contratação;</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Apresentarem desconformidade com quaisquer outras exigências do edital, desde que insanável.</w:t>
      </w:r>
    </w:p>
    <w:p>
      <w:pPr>
        <w:pStyle w:val="3"/>
        <w:numPr>
          <w:ilvl w:val="1"/>
          <w:numId w:val="1"/>
        </w:numPr>
        <w:tabs>
          <w:tab w:val="left" w:pos="1134"/>
        </w:tabs>
        <w:spacing w:before="0" w:beforeAutospacing="0" w:after="0" w:afterAutospacing="0"/>
        <w:ind w:left="0" w:firstLine="567"/>
        <w:jc w:val="both"/>
        <w:textAlignment w:val="baseline"/>
      </w:pPr>
      <w:r>
        <w:t>Erros no preenchimento da planilha não constituem motivo para a desclassificação da proposta. A planilha poderá ser ajustada pelo fornecedor, no prazo indicado pelo sistema, desde que não haja majoração do preço, que se comprove que este é o bastante para arcar com todos os custos da contratação e se limite a sanar erros ou falhas que não alterem a substância das propostas (</w:t>
      </w:r>
      <w:r>
        <w:fldChar w:fldCharType="begin"/>
      </w:r>
      <w:r>
        <w:instrText xml:space="preserve"> HYPERLINK "https://pesquisa.apps.tcu.gov.br/documento/acordao-completo/*/NUMACORDAO%253A1217%2520ANOACORDAO%253A2023%2520/DTRELEVANCIA%2520desc%252C%2520NUMACORDAOINT%2520desc/0" \h </w:instrText>
      </w:r>
      <w:r>
        <w:fldChar w:fldCharType="separate"/>
      </w:r>
      <w:r>
        <w:rPr>
          <w:rStyle w:val="54"/>
        </w:rPr>
        <w:t>Acórdão 1217/2023 Plenário - TCU</w:t>
      </w:r>
      <w:r>
        <w:rPr>
          <w:rStyle w:val="54"/>
        </w:rPr>
        <w:fldChar w:fldCharType="end"/>
      </w:r>
      <w:r>
        <w:t>).</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Será desclassificada a proposta que não corrigir ou não justificar eventuais falhas apontadas pelo(a) </w:t>
      </w:r>
      <w:r>
        <w:t>Pregoeiro</w:t>
      </w:r>
      <w:r>
        <w:rPr>
          <w:color w:val="000000"/>
        </w:rPr>
        <w:t>.</w:t>
      </w:r>
    </w:p>
    <w:p>
      <w:pPr>
        <w:pStyle w:val="2"/>
        <w:spacing w:before="360" w:after="0"/>
      </w:pPr>
      <w:bookmarkStart w:id="21" w:name="_Toc149517445"/>
      <w:r>
        <w:rPr>
          <w:rStyle w:val="45"/>
        </w:rPr>
        <w:t>INEXEQUIBILIDADE DE PROPOSTA</w:t>
      </w:r>
      <w:bookmarkEnd w:id="21"/>
    </w:p>
    <w:p>
      <w:pPr>
        <w:pStyle w:val="3"/>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t>É considerado indício de inexequibilidade das propostas valores inferiores a 50% (cinquenta por cento) do valor orçado pela Administração.</w:t>
      </w:r>
    </w:p>
    <w:p>
      <w:pPr>
        <w:pStyle w:val="3"/>
        <w:numPr>
          <w:ilvl w:val="1"/>
          <w:numId w:val="1"/>
        </w:numPr>
        <w:tabs>
          <w:tab w:val="left" w:pos="1134"/>
        </w:tabs>
        <w:spacing w:before="0" w:beforeAutospacing="0" w:after="120" w:afterAutospacing="0"/>
        <w:ind w:left="0" w:firstLine="567"/>
        <w:jc w:val="both"/>
        <w:textAlignment w:val="baseline"/>
        <w:rPr>
          <w:rFonts w:ascii="Times New Roman" w:hAnsi="Times New Roman"/>
        </w:rPr>
      </w:pPr>
      <w:r>
        <w:rPr>
          <w:color w:val="000000"/>
        </w:rPr>
        <w:t>Se houver indícios de inexequibilidade da proposta de preço, ou em caso da necessidade de esclarecimentos complementares, poderá ser efetuada diligência, e adotados, entre outros e no que couber, os seguintes procedimentos:</w:t>
      </w:r>
    </w:p>
    <w:p>
      <w:pPr>
        <w:pStyle w:val="3"/>
        <w:numPr>
          <w:ilvl w:val="2"/>
          <w:numId w:val="5"/>
        </w:numPr>
        <w:tabs>
          <w:tab w:val="left" w:pos="1134"/>
        </w:tabs>
        <w:spacing w:before="120" w:beforeAutospacing="0" w:after="0" w:afterAutospacing="0"/>
        <w:jc w:val="both"/>
        <w:textAlignment w:val="baseline"/>
        <w:rPr>
          <w:rFonts w:ascii="Times New Roman" w:hAnsi="Times New Roman"/>
        </w:rPr>
      </w:pPr>
      <w:r>
        <w:rPr>
          <w:color w:val="000000"/>
        </w:rPr>
        <w:t>Questionamentos junto à proponente para a apresentação de justificativas e comprovações em relação aos custos com indícios de inexequibilidade;</w:t>
      </w:r>
    </w:p>
    <w:p>
      <w:pPr>
        <w:pStyle w:val="3"/>
        <w:numPr>
          <w:ilvl w:val="2"/>
          <w:numId w:val="5"/>
        </w:numPr>
        <w:tabs>
          <w:tab w:val="left" w:pos="1134"/>
        </w:tabs>
        <w:spacing w:before="0" w:beforeAutospacing="0" w:after="0" w:afterAutospacing="0"/>
        <w:jc w:val="both"/>
        <w:textAlignment w:val="baseline"/>
        <w:rPr>
          <w:rFonts w:ascii="Times New Roman" w:hAnsi="Times New Roman"/>
        </w:rPr>
      </w:pPr>
      <w:r>
        <w:rPr>
          <w:color w:val="000000"/>
        </w:rPr>
        <w:t>verificação de acordos, convenções coletivas ou sentenças normativas;</w:t>
      </w:r>
    </w:p>
    <w:p>
      <w:pPr>
        <w:pStyle w:val="3"/>
        <w:numPr>
          <w:ilvl w:val="2"/>
          <w:numId w:val="5"/>
        </w:numPr>
        <w:tabs>
          <w:tab w:val="left" w:pos="1134"/>
        </w:tabs>
        <w:spacing w:before="0" w:beforeAutospacing="0" w:after="0" w:afterAutospacing="0"/>
        <w:jc w:val="both"/>
        <w:textAlignment w:val="baseline"/>
        <w:rPr>
          <w:rFonts w:ascii="Times New Roman" w:hAnsi="Times New Roman"/>
        </w:rPr>
      </w:pPr>
      <w:r>
        <w:rPr>
          <w:color w:val="000000"/>
        </w:rPr>
        <w:t>levantamento de informações no Ministério do Trabalho e Previdência e consultas às Secretarias de Fazenda Federal, Distrital, Estadual ou Municipal;</w:t>
      </w:r>
    </w:p>
    <w:p>
      <w:pPr>
        <w:pStyle w:val="3"/>
        <w:numPr>
          <w:ilvl w:val="2"/>
          <w:numId w:val="5"/>
        </w:numPr>
        <w:tabs>
          <w:tab w:val="left" w:pos="1134"/>
        </w:tabs>
        <w:spacing w:before="0" w:beforeAutospacing="0" w:after="0" w:afterAutospacing="0"/>
        <w:jc w:val="both"/>
        <w:textAlignment w:val="baseline"/>
        <w:rPr>
          <w:rFonts w:ascii="Times New Roman" w:hAnsi="Times New Roman"/>
        </w:rPr>
      </w:pPr>
      <w:r>
        <w:rPr>
          <w:color w:val="000000"/>
        </w:rPr>
        <w:t>consultas a entidades ou conselhos de classe, sindicatos ou similares;</w:t>
      </w:r>
    </w:p>
    <w:p>
      <w:pPr>
        <w:pStyle w:val="3"/>
        <w:numPr>
          <w:ilvl w:val="2"/>
          <w:numId w:val="5"/>
        </w:numPr>
        <w:tabs>
          <w:tab w:val="left" w:pos="1134"/>
        </w:tabs>
        <w:spacing w:before="0" w:beforeAutospacing="0" w:after="0" w:afterAutospacing="0"/>
        <w:jc w:val="both"/>
        <w:textAlignment w:val="baseline"/>
        <w:rPr>
          <w:rFonts w:ascii="Times New Roman" w:hAnsi="Times New Roman"/>
        </w:rPr>
      </w:pPr>
      <w:r>
        <w:rPr>
          <w:color w:val="000000"/>
        </w:rPr>
        <w:t>pesquisas em órgãos públicos ou empresas privadas para verificação de contratos da mesma natureza;</w:t>
      </w:r>
    </w:p>
    <w:p>
      <w:pPr>
        <w:pStyle w:val="3"/>
        <w:numPr>
          <w:ilvl w:val="2"/>
          <w:numId w:val="5"/>
        </w:numPr>
        <w:tabs>
          <w:tab w:val="left" w:pos="1134"/>
        </w:tabs>
        <w:spacing w:before="0" w:beforeAutospacing="0" w:after="0" w:afterAutospacing="0"/>
        <w:jc w:val="both"/>
        <w:textAlignment w:val="baseline"/>
        <w:rPr>
          <w:rFonts w:ascii="Times New Roman" w:hAnsi="Times New Roman"/>
        </w:rPr>
      </w:pPr>
      <w:r>
        <w:rPr>
          <w:color w:val="000000"/>
        </w:rPr>
        <w:t>pesquisa de preço com fornecedores dos insumos utilizados, tais como atacadistas, lojas de suprimentos, supermercados e fabricantes;</w:t>
      </w:r>
    </w:p>
    <w:p>
      <w:pPr>
        <w:pStyle w:val="3"/>
        <w:numPr>
          <w:ilvl w:val="2"/>
          <w:numId w:val="5"/>
        </w:numPr>
        <w:tabs>
          <w:tab w:val="left" w:pos="1134"/>
        </w:tabs>
        <w:spacing w:before="0" w:beforeAutospacing="0" w:after="0" w:afterAutospacing="0"/>
        <w:jc w:val="both"/>
        <w:textAlignment w:val="baseline"/>
        <w:rPr>
          <w:rFonts w:ascii="Times New Roman" w:hAnsi="Times New Roman"/>
        </w:rPr>
      </w:pPr>
      <w:r>
        <w:rPr>
          <w:color w:val="000000"/>
        </w:rPr>
        <w:t>verificação de notas fiscais dos produtos adquiridos pelo proponente;</w:t>
      </w:r>
    </w:p>
    <w:p>
      <w:pPr>
        <w:pStyle w:val="3"/>
        <w:numPr>
          <w:ilvl w:val="2"/>
          <w:numId w:val="5"/>
        </w:numPr>
        <w:tabs>
          <w:tab w:val="left" w:pos="1134"/>
        </w:tabs>
        <w:spacing w:before="0" w:beforeAutospacing="0" w:after="0" w:afterAutospacing="0"/>
        <w:jc w:val="both"/>
        <w:textAlignment w:val="baseline"/>
        <w:rPr>
          <w:rFonts w:ascii="Times New Roman" w:hAnsi="Times New Roman"/>
        </w:rPr>
      </w:pPr>
      <w:r>
        <w:rPr>
          <w:color w:val="000000"/>
        </w:rPr>
        <w:t>levantamento de indicadores salariais ou trabalhistas publicados por órgãos de pesquisa;</w:t>
      </w:r>
    </w:p>
    <w:p>
      <w:pPr>
        <w:pStyle w:val="3"/>
        <w:numPr>
          <w:ilvl w:val="2"/>
          <w:numId w:val="5"/>
        </w:numPr>
        <w:tabs>
          <w:tab w:val="left" w:pos="1134"/>
        </w:tabs>
        <w:spacing w:before="0" w:beforeAutospacing="0" w:after="0" w:afterAutospacing="0"/>
        <w:jc w:val="both"/>
        <w:textAlignment w:val="baseline"/>
        <w:rPr>
          <w:rFonts w:ascii="Times New Roman" w:hAnsi="Times New Roman"/>
        </w:rPr>
      </w:pPr>
      <w:r>
        <w:rPr>
          <w:color w:val="000000"/>
        </w:rPr>
        <w:t>estudos setoriais;</w:t>
      </w:r>
    </w:p>
    <w:p>
      <w:pPr>
        <w:pStyle w:val="3"/>
        <w:numPr>
          <w:ilvl w:val="2"/>
          <w:numId w:val="5"/>
        </w:numPr>
        <w:tabs>
          <w:tab w:val="left" w:pos="1134"/>
        </w:tabs>
        <w:spacing w:before="0" w:beforeAutospacing="0" w:after="0" w:afterAutospacing="0"/>
        <w:jc w:val="both"/>
        <w:textAlignment w:val="baseline"/>
        <w:rPr>
          <w:rFonts w:ascii="Times New Roman" w:hAnsi="Times New Roman"/>
        </w:rPr>
      </w:pPr>
      <w:r>
        <w:rPr>
          <w:color w:val="000000"/>
        </w:rPr>
        <w:t>análise de soluções técnicas e/ou condições excepcionalmente favoráveis que o proponente detenha para o fornecimento dos produtos; e</w:t>
      </w:r>
    </w:p>
    <w:p>
      <w:pPr>
        <w:pStyle w:val="3"/>
        <w:numPr>
          <w:ilvl w:val="2"/>
          <w:numId w:val="5"/>
        </w:numPr>
        <w:tabs>
          <w:tab w:val="left" w:pos="1134"/>
        </w:tabs>
        <w:spacing w:before="0" w:beforeAutospacing="0" w:after="120" w:afterAutospacing="0"/>
        <w:jc w:val="both"/>
        <w:textAlignment w:val="baseline"/>
        <w:rPr>
          <w:rFonts w:ascii="Times New Roman" w:hAnsi="Times New Roman"/>
        </w:rPr>
      </w:pPr>
      <w:r>
        <w:rPr>
          <w:color w:val="000000"/>
        </w:rPr>
        <w:t>demais verificações que porventura se fizerem necessárias.</w:t>
      </w:r>
    </w:p>
    <w:p>
      <w:pPr>
        <w:pStyle w:val="3"/>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t xml:space="preserve">A </w:t>
      </w:r>
      <w:r>
        <w:rPr>
          <w:color w:val="000000"/>
        </w:rPr>
        <w:t>inexequibilidade</w:t>
      </w:r>
      <w:r>
        <w:t xml:space="preserve"> só será considerada após diligência do pregoeiro, que comprove:</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t xml:space="preserve">que o </w:t>
      </w:r>
      <w:r>
        <w:rPr>
          <w:color w:val="000000"/>
        </w:rPr>
        <w:t>custo</w:t>
      </w:r>
      <w:r>
        <w:t xml:space="preserve"> do licitante ultrapassa o valor da proposta; e</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t>inexistirem custos de oportunidade capazes de justificar o vulto da oferta.</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inexequibilidade da proposta será considerada quando a diligência comprovar que os custos da licitante ultrapassam o valor da proposta, bem como se inexistirem custos de oportunidade capazes de justificar o vulto da oferta.</w:t>
      </w:r>
    </w:p>
    <w:p>
      <w:pPr>
        <w:pStyle w:val="2"/>
        <w:spacing w:before="360" w:after="0"/>
      </w:pPr>
      <w:bookmarkStart w:id="22" w:name="_Toc149517446"/>
      <w:r>
        <w:rPr>
          <w:rStyle w:val="45"/>
        </w:rPr>
        <w:t>PROPOSTA CLASSIFICADA EM PRIMEIRO LUGAR</w:t>
      </w:r>
      <w:bookmarkEnd w:id="22"/>
      <w:r>
        <w:rPr>
          <w:rStyle w:val="45"/>
        </w:rPr>
        <w:t> </w:t>
      </w:r>
    </w:p>
    <w:p>
      <w:pPr>
        <w:pStyle w:val="3"/>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rPr>
          <w:color w:val="000000"/>
        </w:rPr>
        <w:t xml:space="preserve">Na hipótese de a proposta não ser aceitável ou se a licitante classificada em primeiro lugar não atender às exigências para a habilitação, o(a) </w:t>
      </w:r>
      <w:r>
        <w:t>Pregoeiro</w:t>
      </w:r>
      <w:r>
        <w:rPr>
          <w:color w:val="000000"/>
        </w:rPr>
        <w:t xml:space="preserve"> examinará a proposta subsequente até a apuração de uma proposta que atenda aos requisitos descritos neste Edital.</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Constatado o atendimento às exigências fixadas neste Edital, a licitante classificada em primeiro lugar será declarada vencedora da licitação.</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No julgamento da habilitação e das propostas, o </w:t>
      </w:r>
      <w:r>
        <w:t>Pregoeiro</w:t>
      </w:r>
      <w:r>
        <w:rPr>
          <w:color w:val="000000"/>
        </w:rPr>
        <w:t xml:space="preserve"> poderá sanar erros ou falhas que não alterem substancialmente as propostas, dos documentos de habilitação e sua validade jurídica, mediante despacho fundamentado, registrado em ata e acessível a todos, atribuindo-lhes validade e eficácia para fins de habilitação e classificação (</w:t>
      </w:r>
      <w:r>
        <w:fldChar w:fldCharType="begin"/>
      </w:r>
      <w:r>
        <w:rPr>
          <w:rStyle w:val="54"/>
        </w:rPr>
        <w:instrText xml:space="preserve"> HYPERLINK "https://www.planalto.gov.br/ccivil_03/_ato2019-2022/2021/lei/l14133.htm" \l "art64"</w:instrText>
      </w:r>
      <w:r>
        <w:rPr>
          <w:rStyle w:val="54"/>
        </w:rPr>
        <w:fldChar w:fldCharType="separate"/>
      </w:r>
      <w:r>
        <w:rPr>
          <w:rStyle w:val="54"/>
        </w:rPr>
        <w:t>art. 64, §1º, da Lei Federal nº 14.133, de 2021</w:t>
      </w:r>
      <w:r>
        <w:rPr>
          <w:rStyle w:val="54"/>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Caso haja necessidade de suspensão da sessão pública para a realização de diligências, com vistas ao saneamento de que trata item anterior, a sessão pública será reiniciada mediante aviso prévio no sistema com, no mínimo, 12 (doze) horas de antecedência, sendo a ocorrência registrada em ata e disponibilizada no </w:t>
      </w:r>
      <w:r>
        <w:t xml:space="preserve">Portal Licitanet, disponível no endereço eletrônico: </w:t>
      </w:r>
      <w:r>
        <w:fldChar w:fldCharType="begin"/>
      </w:r>
      <w:r>
        <w:instrText xml:space="preserve"> HYPERLINK "https://www.licitanet.com.br/" \h </w:instrText>
      </w:r>
      <w:r>
        <w:fldChar w:fldCharType="separate"/>
      </w:r>
      <w:r>
        <w:rPr>
          <w:rStyle w:val="54"/>
        </w:rPr>
        <w:t>https://www.licitanet.com.br/</w:t>
      </w:r>
      <w:r>
        <w:rPr>
          <w:rStyle w:val="54"/>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A proposta de preços classificada em primeiro lugar, ajustada ao último lance ofertado pela licitante e, se necessário, com os documentos complementares solicitados pelo(a) </w:t>
      </w:r>
      <w:r>
        <w:t>Pregoeiro</w:t>
      </w:r>
      <w:r>
        <w:rPr>
          <w:color w:val="000000"/>
        </w:rPr>
        <w:t>, deverá ser anexada ao sistema eletrônico após a solicitação pela opção “Convocar Anexo”, no prazo de 2 (duas) horas, contado de sua solicitação.</w:t>
      </w:r>
    </w:p>
    <w:p>
      <w:pPr>
        <w:pStyle w:val="3"/>
        <w:numPr>
          <w:ilvl w:val="1"/>
          <w:numId w:val="1"/>
        </w:numPr>
        <w:tabs>
          <w:tab w:val="left" w:pos="1134"/>
        </w:tabs>
        <w:spacing w:before="0" w:beforeAutospacing="0" w:after="120" w:afterAutospacing="0"/>
        <w:ind w:left="0" w:firstLine="567"/>
        <w:jc w:val="both"/>
        <w:textAlignment w:val="baseline"/>
        <w:rPr>
          <w:rFonts w:ascii="Times New Roman" w:hAnsi="Times New Roman"/>
        </w:rPr>
      </w:pPr>
      <w:r>
        <w:rPr>
          <w:color w:val="000000"/>
        </w:rPr>
        <w:t>O prazo definido no item anterior poderá ser prorrogado por igual período, quando:</w:t>
      </w:r>
    </w:p>
    <w:p>
      <w:pPr>
        <w:pStyle w:val="3"/>
        <w:numPr>
          <w:ilvl w:val="2"/>
          <w:numId w:val="6"/>
        </w:numPr>
        <w:tabs>
          <w:tab w:val="left" w:pos="1134"/>
        </w:tabs>
        <w:spacing w:before="120" w:beforeAutospacing="0" w:after="0" w:afterAutospacing="0"/>
        <w:jc w:val="both"/>
        <w:textAlignment w:val="baseline"/>
        <w:rPr>
          <w:rFonts w:ascii="Times New Roman" w:hAnsi="Times New Roman"/>
        </w:rPr>
      </w:pPr>
      <w:r>
        <w:rPr>
          <w:color w:val="000000"/>
        </w:rPr>
        <w:t xml:space="preserve">solicitado pela licitante, mediante justificativa aceita pelo </w:t>
      </w:r>
      <w:r>
        <w:t>Pregoeiro</w:t>
      </w:r>
      <w:r>
        <w:rPr>
          <w:color w:val="000000"/>
        </w:rPr>
        <w:t>; ou</w:t>
      </w:r>
    </w:p>
    <w:p>
      <w:pPr>
        <w:pStyle w:val="3"/>
        <w:numPr>
          <w:ilvl w:val="2"/>
          <w:numId w:val="6"/>
        </w:numPr>
        <w:tabs>
          <w:tab w:val="left" w:pos="1134"/>
        </w:tabs>
        <w:spacing w:before="0" w:beforeAutospacing="0" w:after="120" w:afterAutospacing="0"/>
        <w:jc w:val="both"/>
        <w:textAlignment w:val="baseline"/>
        <w:rPr>
          <w:rFonts w:ascii="Times New Roman" w:hAnsi="Times New Roman"/>
        </w:rPr>
      </w:pPr>
      <w:r>
        <w:rPr>
          <w:color w:val="000000"/>
        </w:rPr>
        <w:t xml:space="preserve">de ofício, a critério do </w:t>
      </w:r>
      <w:r>
        <w:t>Pregoeiro</w:t>
      </w:r>
      <w:r>
        <w:rPr>
          <w:color w:val="000000"/>
        </w:rPr>
        <w:t>, quando constatado que o prazo estabelecido não é suficiente para o envio dos documentos exigidos.</w:t>
      </w:r>
    </w:p>
    <w:p>
      <w:pPr>
        <w:pStyle w:val="3"/>
        <w:numPr>
          <w:ilvl w:val="1"/>
          <w:numId w:val="1"/>
        </w:numPr>
        <w:tabs>
          <w:tab w:val="left" w:pos="1134"/>
        </w:tabs>
        <w:spacing w:before="120" w:beforeAutospacing="0" w:after="120" w:afterAutospacing="0"/>
        <w:ind w:left="0" w:firstLine="567"/>
        <w:jc w:val="both"/>
        <w:textAlignment w:val="baseline"/>
        <w:rPr>
          <w:rFonts w:ascii="Times New Roman" w:hAnsi="Times New Roman"/>
        </w:rPr>
      </w:pPr>
      <w:r>
        <w:rPr>
          <w:color w:val="000000"/>
        </w:rPr>
        <w:t>A proposta de preços deverá ser elaborada com observância das seguintes exigências:</w:t>
      </w:r>
    </w:p>
    <w:p>
      <w:pPr>
        <w:pStyle w:val="3"/>
        <w:numPr>
          <w:ilvl w:val="2"/>
          <w:numId w:val="7"/>
        </w:numPr>
        <w:tabs>
          <w:tab w:val="left" w:pos="1134"/>
        </w:tabs>
        <w:spacing w:before="120" w:beforeAutospacing="0" w:after="0" w:afterAutospacing="0"/>
        <w:jc w:val="both"/>
        <w:textAlignment w:val="baseline"/>
        <w:rPr>
          <w:rFonts w:ascii="Times New Roman" w:hAnsi="Times New Roman"/>
        </w:rPr>
      </w:pPr>
      <w:r>
        <w:rPr>
          <w:color w:val="000000"/>
        </w:rPr>
        <w:t>não conter cotações alternativas, emendas ou entrelinhas;</w:t>
      </w:r>
    </w:p>
    <w:p>
      <w:pPr>
        <w:pStyle w:val="3"/>
        <w:numPr>
          <w:ilvl w:val="2"/>
          <w:numId w:val="7"/>
        </w:numPr>
        <w:tabs>
          <w:tab w:val="left" w:pos="1134"/>
        </w:tabs>
        <w:spacing w:before="0" w:beforeAutospacing="0" w:after="0" w:afterAutospacing="0"/>
        <w:jc w:val="both"/>
        <w:textAlignment w:val="baseline"/>
        <w:rPr>
          <w:rFonts w:ascii="Times New Roman" w:hAnsi="Times New Roman"/>
        </w:rPr>
      </w:pPr>
      <w:r>
        <w:rPr>
          <w:color w:val="000000"/>
        </w:rPr>
        <w:t>fazer menção ao número deste Edital, conter a razão social do licitante, seu CNPJ, dados bancários e endereço completo;</w:t>
      </w:r>
    </w:p>
    <w:p>
      <w:pPr>
        <w:pStyle w:val="3"/>
        <w:numPr>
          <w:ilvl w:val="3"/>
          <w:numId w:val="7"/>
        </w:numPr>
        <w:tabs>
          <w:tab w:val="left" w:pos="1134"/>
        </w:tabs>
        <w:spacing w:before="0" w:beforeAutospacing="0" w:after="0" w:afterAutospacing="0"/>
        <w:jc w:val="both"/>
        <w:textAlignment w:val="baseline"/>
        <w:rPr>
          <w:rFonts w:ascii="Times New Roman" w:hAnsi="Times New Roman"/>
        </w:rPr>
      </w:pPr>
      <w:r>
        <w:rPr>
          <w:color w:val="000000"/>
        </w:rPr>
        <w:t>a falta do CNPJ e (ou) endereço completo poderá ser preenchida pelos dados constantes no sistema eletrônico.</w:t>
      </w:r>
    </w:p>
    <w:p>
      <w:pPr>
        <w:pStyle w:val="3"/>
        <w:numPr>
          <w:ilvl w:val="2"/>
          <w:numId w:val="7"/>
        </w:numPr>
        <w:tabs>
          <w:tab w:val="left" w:pos="1134"/>
        </w:tabs>
        <w:spacing w:before="0" w:beforeAutospacing="0" w:after="0" w:afterAutospacing="0"/>
        <w:jc w:val="both"/>
        <w:textAlignment w:val="baseline"/>
        <w:rPr>
          <w:rFonts w:ascii="Times New Roman" w:hAnsi="Times New Roman"/>
        </w:rPr>
      </w:pPr>
      <w:r>
        <w:rPr>
          <w:color w:val="000000"/>
        </w:rPr>
        <w:t>conter cotação de preço unitário e total para o item/lote ofertado, em moeda corrente nacional (Real), incluídos todos os tributos, taxas, fretes e demais encargos pertinentes, conforme Modelo de Proposta previsto no Anexo VI deste Edital;</w:t>
      </w:r>
    </w:p>
    <w:p>
      <w:pPr>
        <w:pStyle w:val="3"/>
        <w:numPr>
          <w:ilvl w:val="3"/>
          <w:numId w:val="7"/>
        </w:numPr>
        <w:tabs>
          <w:tab w:val="left" w:pos="1134"/>
        </w:tabs>
        <w:spacing w:before="0" w:beforeAutospacing="0" w:after="0" w:afterAutospacing="0"/>
        <w:jc w:val="both"/>
        <w:textAlignment w:val="baseline"/>
        <w:rPr>
          <w:rFonts w:ascii="Times New Roman" w:hAnsi="Times New Roman"/>
        </w:rPr>
      </w:pPr>
      <w:r>
        <w:rPr>
          <w:color w:val="000000"/>
        </w:rPr>
        <w:t xml:space="preserve">os custos relacionados ao fornecimento do objeto deverão ser detalhados para efeito de eventual reequilíbrio dos preços contratados; </w:t>
      </w:r>
    </w:p>
    <w:p>
      <w:pPr>
        <w:pStyle w:val="3"/>
        <w:numPr>
          <w:ilvl w:val="3"/>
          <w:numId w:val="7"/>
        </w:numPr>
        <w:tabs>
          <w:tab w:val="left" w:pos="1134"/>
        </w:tabs>
        <w:spacing w:before="0" w:beforeAutospacing="0" w:after="0" w:afterAutospacing="0"/>
        <w:jc w:val="both"/>
        <w:textAlignment w:val="baseline"/>
      </w:pPr>
      <w:r>
        <w:rPr>
          <w:color w:val="000000"/>
        </w:rPr>
        <w:t xml:space="preserve">o preço unitário/total máximo para o item/lote é o que consta do </w:t>
      </w:r>
      <w:r>
        <w:rPr>
          <w:rStyle w:val="45"/>
          <w:color w:val="000000"/>
        </w:rPr>
        <w:t>Termo de Referência</w:t>
      </w:r>
      <w:r>
        <w:rPr>
          <w:color w:val="000000"/>
        </w:rPr>
        <w:t xml:space="preserve"> - Anexo I deste Edital;</w:t>
      </w:r>
    </w:p>
    <w:p>
      <w:pPr>
        <w:pStyle w:val="3"/>
        <w:numPr>
          <w:ilvl w:val="2"/>
          <w:numId w:val="7"/>
        </w:numPr>
        <w:tabs>
          <w:tab w:val="left" w:pos="1134"/>
        </w:tabs>
        <w:spacing w:before="0" w:beforeAutospacing="0" w:after="0" w:afterAutospacing="0"/>
        <w:jc w:val="both"/>
        <w:textAlignment w:val="baseline"/>
        <w:rPr>
          <w:rFonts w:ascii="Times New Roman" w:hAnsi="Times New Roman"/>
        </w:rPr>
      </w:pPr>
      <w:r>
        <w:rPr>
          <w:color w:val="000000"/>
        </w:rPr>
        <w:t>conter a marca e, se existir, informar o modelo;</w:t>
      </w:r>
    </w:p>
    <w:p>
      <w:pPr>
        <w:pStyle w:val="3"/>
        <w:numPr>
          <w:ilvl w:val="3"/>
          <w:numId w:val="7"/>
        </w:numPr>
        <w:tabs>
          <w:tab w:val="left" w:pos="1134"/>
        </w:tabs>
        <w:spacing w:before="0" w:beforeAutospacing="0" w:after="0" w:afterAutospacing="0"/>
        <w:jc w:val="both"/>
        <w:textAlignment w:val="baseline"/>
      </w:pPr>
      <w:r>
        <w:rPr>
          <w:color w:val="000000"/>
        </w:rPr>
        <w:t xml:space="preserve">será aceita a oferta de produtos com marcas diferentes da marca de referência, desde que apresentem qualidade igual ou superior, observado o </w:t>
      </w:r>
      <w:r>
        <w:fldChar w:fldCharType="begin"/>
      </w:r>
      <w:r>
        <w:rPr>
          <w:rStyle w:val="54"/>
        </w:rPr>
        <w:instrText xml:space="preserve"> HYPERLINK "https://www.planalto.gov.br/ccivil_03/_ato2019-2022/2021/lei/l14133.htm" \l "art42"</w:instrText>
      </w:r>
      <w:r>
        <w:rPr>
          <w:rStyle w:val="54"/>
        </w:rPr>
        <w:fldChar w:fldCharType="separate"/>
      </w:r>
      <w:r>
        <w:rPr>
          <w:rStyle w:val="54"/>
        </w:rPr>
        <w:t>art. 42 da Lei Federal nº 14.133, de 2021</w:t>
      </w:r>
      <w:r>
        <w:rPr>
          <w:rStyle w:val="54"/>
        </w:rPr>
        <w:fldChar w:fldCharType="end"/>
      </w:r>
      <w:r>
        <w:rPr>
          <w:color w:val="000000"/>
        </w:rPr>
        <w:t>.</w:t>
      </w:r>
    </w:p>
    <w:p>
      <w:pPr>
        <w:pStyle w:val="3"/>
        <w:numPr>
          <w:ilvl w:val="2"/>
          <w:numId w:val="7"/>
        </w:numPr>
        <w:tabs>
          <w:tab w:val="left" w:pos="1134"/>
        </w:tabs>
        <w:spacing w:before="0" w:beforeAutospacing="0" w:after="120" w:afterAutospacing="0"/>
        <w:jc w:val="both"/>
        <w:textAlignment w:val="baseline"/>
        <w:rPr>
          <w:rFonts w:ascii="Times New Roman" w:hAnsi="Times New Roman"/>
        </w:rPr>
      </w:pPr>
      <w:r>
        <w:rPr>
          <w:color w:val="000000"/>
        </w:rPr>
        <w:t>indicar o número do CNPJ da filial ou do estabelecimento da licitante que emitirá a nota fiscal referente ao fornecimento dos materiais, indicação essa indispensável para efeito de empenho da despesa, liquidação do objeto contratado e realização do pagamento.</w:t>
      </w:r>
    </w:p>
    <w:p>
      <w:pPr>
        <w:pStyle w:val="3"/>
        <w:numPr>
          <w:ilvl w:val="1"/>
          <w:numId w:val="1"/>
        </w:numPr>
        <w:tabs>
          <w:tab w:val="left" w:pos="1134"/>
        </w:tabs>
        <w:spacing w:before="120" w:beforeAutospacing="0" w:after="0" w:afterAutospacing="0"/>
        <w:ind w:left="0" w:firstLine="567"/>
        <w:jc w:val="both"/>
        <w:textAlignment w:val="baseline"/>
      </w:pPr>
      <w:r>
        <w:rPr>
          <w:color w:val="000000"/>
        </w:rPr>
        <w:t xml:space="preserve">A apresentação da proposta implicará, necessariamente, a anuência a todas as exigências contidas neste Edital e seus anexos, inclusive quanto ao prazo de entrega e condições de garantia, conforme </w:t>
      </w:r>
      <w:r>
        <w:rPr>
          <w:rStyle w:val="45"/>
          <w:color w:val="000000"/>
        </w:rPr>
        <w:t>Termo de Referência</w:t>
      </w:r>
      <w:r>
        <w:rPr>
          <w:color w:val="000000"/>
        </w:rPr>
        <w:t xml:space="preserve"> - Anexo I deste Edital, bem como quanto ao prazo de validade da proposta, não inferior a 60 (sessenta) dias, contados da data de sua entrega (</w:t>
      </w:r>
      <w:r>
        <w:fldChar w:fldCharType="begin"/>
      </w:r>
      <w:r>
        <w:rPr>
          <w:rStyle w:val="54"/>
        </w:rPr>
        <w:instrText xml:space="preserve"> HYPERLINK "https://www.planalto.gov.br/ccivil_03/_ato2019-2022/2021/lei/l14133.htm" \l "art90"</w:instrText>
      </w:r>
      <w:r>
        <w:rPr>
          <w:rStyle w:val="54"/>
        </w:rPr>
        <w:fldChar w:fldCharType="separate"/>
      </w:r>
      <w:r>
        <w:rPr>
          <w:rStyle w:val="54"/>
        </w:rPr>
        <w:t>art. 90, §3º, da Lei Federal nº 14.133, de 2021</w:t>
      </w:r>
      <w:r>
        <w:rPr>
          <w:rStyle w:val="54"/>
        </w:rPr>
        <w:fldChar w:fldCharType="end"/>
      </w:r>
      <w:r>
        <w:rPr>
          <w:color w:val="000000"/>
        </w:rPr>
        <w:t>).</w:t>
      </w:r>
    </w:p>
    <w:p>
      <w:pPr>
        <w:pStyle w:val="2"/>
        <w:spacing w:before="360" w:after="0"/>
      </w:pPr>
      <w:bookmarkStart w:id="23" w:name="_Toc149517447"/>
      <w:r>
        <w:rPr>
          <w:rStyle w:val="45"/>
        </w:rPr>
        <w:t>ACEITABILIDADE DA PROPOSTA</w:t>
      </w:r>
      <w:bookmarkEnd w:id="23"/>
    </w:p>
    <w:p>
      <w:pPr>
        <w:pStyle w:val="3"/>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rPr>
          <w:color w:val="000000"/>
        </w:rPr>
        <w:t xml:space="preserve">Encerrada a etapa de negociação, o </w:t>
      </w:r>
      <w:r>
        <w:t>Pregoeiro</w:t>
      </w:r>
      <w:r>
        <w:rPr>
          <w:color w:val="000000"/>
        </w:rPr>
        <w:t xml:space="preserve"> examinará a proposta classificada em primeiro lugar quanto à adequação ao objeto e à compatibilidade do preço em relação ao máximo estipulado para contratação neste Edital e em seus anexos.</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licitante classificada em primeiro lugar deverá encaminhar a proposta de preços adequada ao novo valor por ela ofertado, em até 2 (duas) horas, bem como as especificações estipuladas no Edital e seus anexos.</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Qualquer interessado poderá requerer que se realizem diligências para aferir a exequibilidade e a legalidade das propostas, devendo apresentar as provas ou os indícios que fundamentam a suspeita.</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Na hipótese de necessidade de suspensão da sessão pública para a realização de diligências, com vistas ao saneamento das propostas, a sessão pública somente poderá ser reiniciada mediante aviso prévio no sistema com, no mínimo, 12 (doze) horas de antecedência, e a ocorrência será registrada em ata.</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O </w:t>
      </w:r>
      <w:r>
        <w:t>Pregoeiro</w:t>
      </w:r>
      <w:r>
        <w:rPr>
          <w:color w:val="000000"/>
        </w:rPr>
        <w:t xml:space="preserve"> poderá convocar o licitante para enviar documento digital complementar, por meio de funcionalidade disponível no sistema, no prazo mínimo de 2 (duas) horas, sob pena de não aceitação da proposta.</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O prazo estabelecido no item anterior poderá ser prorrogado pelo </w:t>
      </w:r>
      <w:r>
        <w:t>Pregoeiro</w:t>
      </w:r>
      <w:r>
        <w:rPr>
          <w:color w:val="000000"/>
        </w:rPr>
        <w:t xml:space="preserve"> por solicitação escrita e justificada do licitante, formulada antes de findo o prazo, e formalmente aceita pelo </w:t>
      </w:r>
      <w:r>
        <w:t>Pregoeiro</w:t>
      </w:r>
      <w:r>
        <w:rPr>
          <w:color w:val="000000"/>
        </w:rPr>
        <w:t>.</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Para fins de análise da proposta quanto ao cumprimento das especificações do objeto, poderá ser colhida a manifestação escrita do setor requisitante do produto ou da área especializada no objeto.</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Se a proposta ou lance vencedor for desclassificado, o </w:t>
      </w:r>
      <w:r>
        <w:t>Pregoeiro</w:t>
      </w:r>
      <w:r>
        <w:rPr>
          <w:color w:val="000000"/>
        </w:rPr>
        <w:t xml:space="preserve"> examinará a proposta ou lance subsequente, e, assim sucessivamente, na ordem de classificação.</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O </w:t>
      </w:r>
      <w:r>
        <w:t>Pregoeiro</w:t>
      </w:r>
      <w:r>
        <w:rPr>
          <w:color w:val="000000"/>
        </w:rPr>
        <w:t xml:space="preserve"> poderá encaminhar, por meio do sistema eletrônico, contraproposta ao licitante que apresentou o lance mais vantajoso, com o fim de negociar a obtenção de melhor preço, vedada a negociação em condições diversas das previstas neste Edital. </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Também nas hipóteses em que o </w:t>
      </w:r>
      <w:r>
        <w:t>Pregoeiro</w:t>
      </w:r>
      <w:r>
        <w:rPr>
          <w:color w:val="000000"/>
        </w:rPr>
        <w:t xml:space="preserve"> não aceitar a proposta do licitante vencedor e passar à subsequente, poderá negociar com o licitante para que seja obtido preço melhor. A(s) negociação(ões) será(ão) realizada(s) por meio do sistema, podendo ser acompanhada pelos demais licitantes. </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Sempre que a proposta não for aceita, e antes de o </w:t>
      </w:r>
      <w:r>
        <w:t>Pregoeiro</w:t>
      </w:r>
      <w:r>
        <w:rPr>
          <w:color w:val="000000"/>
        </w:rPr>
        <w:t xml:space="preserve"> passar à subsequente, haverá nova verificação, pelo sistema, da eventual ocorrência do empate ficto, previsto nos </w:t>
      </w:r>
      <w:r>
        <w:fldChar w:fldCharType="begin"/>
      </w:r>
      <w:r>
        <w:rPr>
          <w:rStyle w:val="54"/>
        </w:rPr>
        <w:instrText xml:space="preserve"> HYPERLINK "https://www.planalto.gov.br/ccivil_03/leis/lcp/lcp123.htm" \l "art44"</w:instrText>
      </w:r>
      <w:r>
        <w:rPr>
          <w:rStyle w:val="54"/>
        </w:rPr>
        <w:fldChar w:fldCharType="separate"/>
      </w:r>
      <w:r>
        <w:rPr>
          <w:rStyle w:val="54"/>
        </w:rPr>
        <w:t>arts. 44 e 45 da Lei Complementar Federal nº 123, de 2006</w:t>
      </w:r>
      <w:r>
        <w:rPr>
          <w:rStyle w:val="54"/>
        </w:rPr>
        <w:fldChar w:fldCharType="end"/>
      </w:r>
      <w:r>
        <w:rPr>
          <w:color w:val="000000"/>
        </w:rPr>
        <w:t>, seguindo-se a disciplina antes estabelecida, se for o caso.</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Havendo necessidade, o </w:t>
      </w:r>
      <w:r>
        <w:t>Pregoeiro</w:t>
      </w:r>
      <w:r>
        <w:rPr>
          <w:color w:val="000000"/>
        </w:rPr>
        <w:t xml:space="preserve"> suspenderá a sessão, informando no “</w:t>
      </w:r>
      <w:r>
        <w:rPr>
          <w:i/>
          <w:iCs/>
          <w:color w:val="000000"/>
        </w:rPr>
        <w:t>chat</w:t>
      </w:r>
      <w:r>
        <w:rPr>
          <w:color w:val="000000"/>
        </w:rPr>
        <w:t xml:space="preserve">” a nova data e horário para a continuidade da mesma. </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Encerrada a análise quanto à aceitação da proposta, o </w:t>
      </w:r>
      <w:r>
        <w:t>Pregoeiro</w:t>
      </w:r>
      <w:r>
        <w:rPr>
          <w:color w:val="000000"/>
        </w:rPr>
        <w:t xml:space="preserve"> verificará a habilitação do licitante classificado em primeiro lugar, observado o disposto neste Edital.</w:t>
      </w:r>
    </w:p>
    <w:p>
      <w:pPr>
        <w:pStyle w:val="2"/>
        <w:spacing w:before="360" w:after="0"/>
      </w:pPr>
      <w:bookmarkStart w:id="24" w:name="_Toc149517448"/>
      <w:r>
        <w:rPr>
          <w:rStyle w:val="45"/>
        </w:rPr>
        <w:t>HABILITAÇÃO DA LICITANTE CLASSIFICADA EM PRIMEIRO LUGAR</w:t>
      </w:r>
      <w:bookmarkEnd w:id="24"/>
    </w:p>
    <w:p>
      <w:pPr>
        <w:pStyle w:val="3"/>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rPr>
          <w:color w:val="000000"/>
        </w:rPr>
        <w:t>O licitante classificado em primeiro lugar na fase de propostas deverá encaminhar, nos termos deste Edital, a documentação relacionada nos itens a seguir, para fins de habilitação:</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Habilitação Jurídica;</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Qualificação Técnica;</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Regularidade Fiscal, Social e Trabalhista;</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Outros Documentos.</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Os licitantes encaminharão, exclusivamente por meio do sistema eletrônico, concomitantemente com a proposta, os documentos de habilitação exigidos neste Edital, até a data e o horário estabelecidos para abertura da sessão pública, quando, então, encerrar-se-á automaticamente a etapa de envio dessa documentação.</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documentação de habilitação poderá ser:</w:t>
      </w:r>
    </w:p>
    <w:p>
      <w:pPr>
        <w:pStyle w:val="3"/>
        <w:numPr>
          <w:ilvl w:val="2"/>
          <w:numId w:val="1"/>
        </w:numPr>
        <w:tabs>
          <w:tab w:val="left" w:pos="1134"/>
        </w:tabs>
        <w:spacing w:before="0" w:beforeAutospacing="0" w:after="0" w:afterAutospacing="0"/>
        <w:jc w:val="both"/>
        <w:textAlignment w:val="baseline"/>
      </w:pPr>
      <w:bookmarkStart w:id="25" w:name="art70i"/>
      <w:bookmarkEnd w:id="25"/>
      <w:r>
        <w:rPr>
          <w:color w:val="000000"/>
        </w:rPr>
        <w:t>apresentada em original, por cópia ou por qualquer outro meio expressamente admitido pela Administração (</w:t>
      </w:r>
      <w:r>
        <w:fldChar w:fldCharType="begin"/>
      </w:r>
      <w:r>
        <w:rPr>
          <w:rStyle w:val="54"/>
        </w:rPr>
        <w:instrText xml:space="preserve"> HYPERLINK "https://www.planalto.gov.br/ccivil_03/_ato2019-2022/2021/lei/l14133.htm" \l "art70"</w:instrText>
      </w:r>
      <w:r>
        <w:rPr>
          <w:rStyle w:val="54"/>
        </w:rPr>
        <w:fldChar w:fldCharType="separate"/>
      </w:r>
      <w:r>
        <w:rPr>
          <w:rStyle w:val="54"/>
        </w:rPr>
        <w:t>art. 70, I, da Lei Federal nº 14.133, de 2021</w:t>
      </w:r>
      <w:r>
        <w:rPr>
          <w:rStyle w:val="54"/>
        </w:rPr>
        <w:fldChar w:fldCharType="end"/>
      </w:r>
      <w:r>
        <w:rPr>
          <w:color w:val="000000"/>
        </w:rPr>
        <w:t xml:space="preserve">); </w:t>
      </w:r>
    </w:p>
    <w:p>
      <w:pPr>
        <w:pStyle w:val="3"/>
        <w:numPr>
          <w:ilvl w:val="2"/>
          <w:numId w:val="1"/>
        </w:numPr>
        <w:tabs>
          <w:tab w:val="left" w:pos="1134"/>
        </w:tabs>
        <w:spacing w:before="0" w:beforeAutospacing="0" w:after="0" w:afterAutospacing="0"/>
        <w:jc w:val="both"/>
        <w:textAlignment w:val="baseline"/>
      </w:pPr>
      <w:bookmarkStart w:id="26" w:name="art70ii"/>
      <w:bookmarkEnd w:id="26"/>
      <w:r>
        <w:rPr>
          <w:color w:val="000000"/>
        </w:rPr>
        <w:t>substituída por registro cadastral unificado disponível no PNCP - Portal Nacional de Contratações Públicas (</w:t>
      </w:r>
      <w:r>
        <w:fldChar w:fldCharType="begin"/>
      </w:r>
      <w:r>
        <w:rPr>
          <w:rStyle w:val="54"/>
        </w:rPr>
        <w:instrText xml:space="preserve"> HYPERLINK "https://www.planalto.gov.br/ccivil_03/_ato2019-2022/2021/lei/l14133.htm" \l "art87"</w:instrText>
      </w:r>
      <w:r>
        <w:rPr>
          <w:rStyle w:val="54"/>
        </w:rPr>
        <w:fldChar w:fldCharType="separate"/>
      </w:r>
      <w:r>
        <w:rPr>
          <w:rStyle w:val="54"/>
        </w:rPr>
        <w:t>art. 87 da Lei Federal nº 14.133, de 2021</w:t>
      </w:r>
      <w:r>
        <w:rPr>
          <w:rStyle w:val="54"/>
        </w:rPr>
        <w:fldChar w:fldCharType="end"/>
      </w:r>
      <w:r>
        <w:rPr>
          <w:color w:val="000000"/>
        </w:rPr>
        <w:t>) ou no Sistema de Cadastramento Unificado de Fornecedores - SICAF (</w:t>
      </w:r>
      <w:r>
        <w:fldChar w:fldCharType="begin"/>
      </w:r>
      <w:r>
        <w:instrText xml:space="preserve"> HYPERLINK "https://www.gov.br/compras/pt-br/acesso-a-informacao/legislacao/instrucoes-normativas/instrucao-normativa-no-3-de-26-de-abril-de-2018" \h </w:instrText>
      </w:r>
      <w:r>
        <w:fldChar w:fldCharType="separate"/>
      </w:r>
      <w:r>
        <w:rPr>
          <w:rStyle w:val="54"/>
        </w:rPr>
        <w:t>Instrução Normativa nº 3, de 2018</w:t>
      </w:r>
      <w:r>
        <w:rPr>
          <w:rStyle w:val="54"/>
        </w:rPr>
        <w:fldChar w:fldCharType="end"/>
      </w:r>
      <w:r>
        <w:rPr>
          <w:color w:val="000000"/>
        </w:rPr>
        <w:t>, do Secretário de Gestão do Ministério do Planejamento, Desenvolvimento e Gestão).</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O envio dos documentos de habilitação exigidos neste Edital, ocorrerá por meio de chave de acesso e senha.</w:t>
      </w:r>
    </w:p>
    <w:p>
      <w:pPr>
        <w:pStyle w:val="3"/>
        <w:numPr>
          <w:ilvl w:val="1"/>
          <w:numId w:val="1"/>
        </w:numPr>
        <w:tabs>
          <w:tab w:val="left" w:pos="1134"/>
        </w:tabs>
        <w:spacing w:before="0" w:beforeAutospacing="0" w:after="0" w:afterAutospacing="0"/>
        <w:ind w:left="0" w:firstLine="567"/>
        <w:jc w:val="both"/>
        <w:textAlignment w:val="baseline"/>
      </w:pPr>
      <w:r>
        <w:rPr>
          <w:color w:val="000000"/>
        </w:rPr>
        <w:t>Os licitantes poderão deixar de apresentar, total ou parcialmente, os documentos de habilitação que constem no sistema de registro cadastral unificado disponível no PNCP - Portal Nacional de Contratações Públicas (</w:t>
      </w:r>
      <w:r>
        <w:fldChar w:fldCharType="begin"/>
      </w:r>
      <w:r>
        <w:rPr>
          <w:rStyle w:val="54"/>
        </w:rPr>
        <w:instrText xml:space="preserve"> HYPERLINK "https://www.planalto.gov.br/ccivil_03/_ato2019-2022/2021/lei/l14133.htm" \l "art87"</w:instrText>
      </w:r>
      <w:r>
        <w:rPr>
          <w:rStyle w:val="54"/>
        </w:rPr>
        <w:fldChar w:fldCharType="separate"/>
      </w:r>
      <w:r>
        <w:rPr>
          <w:rStyle w:val="54"/>
        </w:rPr>
        <w:t>art. 87 da Lei Federal nº 14.133, de 2021</w:t>
      </w:r>
      <w:r>
        <w:rPr>
          <w:rStyle w:val="54"/>
        </w:rPr>
        <w:fldChar w:fldCharType="end"/>
      </w:r>
      <w:r>
        <w:rPr>
          <w:color w:val="000000"/>
        </w:rPr>
        <w:t>) ou no Sistema de Cadastramento Unificado de Fornecedores - SICAF (</w:t>
      </w:r>
      <w:r>
        <w:fldChar w:fldCharType="begin"/>
      </w:r>
      <w:r>
        <w:instrText xml:space="preserve"> HYPERLINK "https://www.gov.br/compras/pt-br/acesso-a-informacao/legislacao/instrucoes-normativas/instrucao-normativa-no-3-de-26-de-abril-de-2018" \h </w:instrText>
      </w:r>
      <w:r>
        <w:fldChar w:fldCharType="separate"/>
      </w:r>
      <w:r>
        <w:rPr>
          <w:rStyle w:val="54"/>
        </w:rPr>
        <w:t>Instrução Normativa nº 3, de 2018</w:t>
      </w:r>
      <w:r>
        <w:rPr>
          <w:rStyle w:val="54"/>
        </w:rPr>
        <w:fldChar w:fldCharType="end"/>
      </w:r>
      <w:r>
        <w:rPr>
          <w:color w:val="000000"/>
        </w:rPr>
        <w:t>, do Secretário de Gestão do Ministério do Planejamento, Desenvolvimento e Gestão).</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Os licitantes que optarem por utilizar um dos cadastros indicados no item anterior deverão apresentar o certificado cadastral respectivo, sendo assegurado aos demais licitantes o direito de acesso aos dados constantes dos sistemas.</w:t>
      </w:r>
    </w:p>
    <w:p>
      <w:pPr>
        <w:pStyle w:val="3"/>
        <w:numPr>
          <w:ilvl w:val="1"/>
          <w:numId w:val="1"/>
        </w:numPr>
        <w:tabs>
          <w:tab w:val="left" w:pos="1134"/>
        </w:tabs>
        <w:spacing w:before="0" w:beforeAutospacing="0" w:after="0" w:afterAutospacing="0"/>
        <w:ind w:left="0" w:firstLine="567"/>
        <w:jc w:val="both"/>
        <w:textAlignment w:val="baseline"/>
      </w:pPr>
      <w:r>
        <w:t>É de responsabilidade do licitante conferir a exatidão dos seus dados cadastrais no registro cadastral unificado do PNCP (</w:t>
      </w:r>
      <w:r>
        <w:fldChar w:fldCharType="begin"/>
      </w:r>
      <w:r>
        <w:instrText xml:space="preserve"> HYPERLINK "https://pncp.gov.br/" \h </w:instrText>
      </w:r>
      <w:r>
        <w:fldChar w:fldCharType="separate"/>
      </w:r>
      <w:r>
        <w:rPr>
          <w:rStyle w:val="54"/>
        </w:rPr>
        <w:t>https://pncp.gov.br/</w:t>
      </w:r>
      <w:r>
        <w:rPr>
          <w:rStyle w:val="54"/>
        </w:rPr>
        <w:fldChar w:fldCharType="end"/>
      </w:r>
      <w:r>
        <w:t>) ou do SICAF e mantê-los atualizados junto aos órgãos responsáveis pela informação, devendo proceder, imediatamente, à correção ou à alteração dos registros tão logo identifique incorreção ou aqueles se tornem desatualizados.</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As Microempresas (ME) e Empresas de Pequeno Porte (EPP) deverão encaminhar a documentação de habilitação, ainda que haja alguma restrição de regularidade fiscal e trabalhista, nos termos do </w:t>
      </w:r>
      <w:r>
        <w:fldChar w:fldCharType="begin"/>
      </w:r>
      <w:r>
        <w:rPr>
          <w:rStyle w:val="54"/>
        </w:rPr>
        <w:instrText xml:space="preserve"> HYPERLINK "https://www.planalto.gov.br/ccivil_03/leis/lcp/lcp123.htm" \l "art43"</w:instrText>
      </w:r>
      <w:r>
        <w:rPr>
          <w:rStyle w:val="54"/>
        </w:rPr>
        <w:fldChar w:fldCharType="separate"/>
      </w:r>
      <w:r>
        <w:rPr>
          <w:rStyle w:val="54"/>
        </w:rPr>
        <w:t>art. 43, § 1º, da Lei Complementar Federal nº 123, de 2006</w:t>
      </w:r>
      <w:r>
        <w:rPr>
          <w:rStyle w:val="54"/>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pPr>
      <w:r>
        <w:t xml:space="preserve">Na </w:t>
      </w:r>
      <w:r>
        <w:rPr>
          <w:color w:val="000000"/>
        </w:rPr>
        <w:t>hipótese</w:t>
      </w:r>
      <w:r>
        <w:t xml:space="preserve"> de o licitante vencedor ser empresa estrangeira que não funcione no País, para ﬁns de assinatura do contrato, os documentos exigidos para a habilitação serão traduzidos por tradutor juramentado no País e apostilados nos termos do disposto no </w:t>
      </w:r>
      <w:r>
        <w:fldChar w:fldCharType="begin"/>
      </w:r>
      <w:r>
        <w:instrText xml:space="preserve"> HYPERLINK "https://www.planalto.gov.br/ccivil_03/_ato2015-2018/2016/decreto/d8660.htm" \h </w:instrText>
      </w:r>
      <w:r>
        <w:fldChar w:fldCharType="separate"/>
      </w:r>
      <w:r>
        <w:rPr>
          <w:rStyle w:val="54"/>
        </w:rPr>
        <w:t>Decreto Federal nº 8.660, de 2016</w:t>
      </w:r>
      <w:r>
        <w:rPr>
          <w:rStyle w:val="54"/>
        </w:rPr>
        <w:fldChar w:fldCharType="end"/>
      </w:r>
      <w:r>
        <w:t>, ou de outro que venha a substituí-lo, ou consularizados pelos respectivos consulados ou embaixadas.</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Até a abertura da sessão pública, os licitantes poderão retirar ou substituir os documentos de habilitação anteriormente inseridos no sistema.</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Os documentos que compõem a proposta e a habilitação do licitante melhor classificado somente serão disponibilizados para avaliação do </w:t>
      </w:r>
      <w:r>
        <w:t>Pregoeiro</w:t>
      </w:r>
      <w:r>
        <w:rPr>
          <w:color w:val="000000"/>
        </w:rPr>
        <w:t xml:space="preserve"> e para acesso público após o encerramento da fase de lances.</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Como condição prévia ao exame da documentação de habilitação do licitante detentor da proposta classificada em primeiro lugar, o </w:t>
      </w:r>
      <w:r>
        <w:t>Pregoeiro</w:t>
      </w:r>
      <w:r>
        <w:rPr>
          <w:color w:val="000000"/>
        </w:rPr>
        <w:t xml:space="preserve"> verificará o eventual descumprimento das condições de participação, especialmente quanto à existência de sanção que impeça a participação no certame ou a futura contratação, mediante a consulta aos seguintes cadastros:</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Cadastro Nacional de Empresas Punidas – CNEP, mantido pela Controladoria-Geral da União (CGU);</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Cadastro Nacional de Empresas Inidôneas e Suspensas – CEIS, mantido pela Controladoria-Geral da União (CGU);</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Cadastro Nacional de Condenações Cíveis por Atos de Improbidade Administrativa, mantido pelo Conselho Nacional de Justiça (CNJ);</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Sistema de Inabilitados e Inidôneos, mantida pelo Tribunal de Contas da União;</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A consulta aos cadastros será realizada em nome da empresa licitante e também de seu sócio majoritário, por força do </w:t>
      </w:r>
      <w:r>
        <w:fldChar w:fldCharType="begin"/>
      </w:r>
      <w:r>
        <w:rPr>
          <w:rStyle w:val="54"/>
        </w:rPr>
        <w:instrText xml:space="preserve"> HYPERLINK "https://www.planalto.gov.br/ccivil_03/leis/l8429.htm" \l "art12"</w:instrText>
      </w:r>
      <w:r>
        <w:rPr>
          <w:rStyle w:val="54"/>
        </w:rPr>
        <w:fldChar w:fldCharType="separate"/>
      </w:r>
      <w:r>
        <w:rPr>
          <w:rStyle w:val="54"/>
        </w:rPr>
        <w:t>art. 12 da Lei Federal nº 8.429, de 1992</w:t>
      </w:r>
      <w:r>
        <w:rPr>
          <w:rStyle w:val="54"/>
        </w:rPr>
        <w:fldChar w:fldCharType="end"/>
      </w:r>
      <w:r>
        <w:rPr>
          <w:color w:val="000000"/>
        </w:rPr>
        <w:t>, que prevê, dentre as sanções impostas ao responsável pela prática de ato de improbidade administrativa, a proibição de contratar com o Poder Público, inclusive por intermédio de pessoa jurídica da qual seja sócio majoritário.</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Caso conste na Consulta de Situação do Fornecedor a existência de Ocorrências Impeditivas Indiretas, o </w:t>
      </w:r>
      <w:r>
        <w:t>Pregoeiro</w:t>
      </w:r>
      <w:r>
        <w:rPr>
          <w:color w:val="000000"/>
        </w:rPr>
        <w:t xml:space="preserve"> diligenciará para verificar se houve fraude por parte das empresas apontadas no Relatório de Ocorrências Impeditivas Indiretas, seguindo os seguintes procedimentos:</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A tentativa de burla será verificada por meio dos vínculos societários, linhas de fornecimento similares, dentre outros;</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O licitante será convocado para manifestação previamente à sua inabilitação;</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 xml:space="preserve">Constatada a existência de sanção, o </w:t>
      </w:r>
      <w:r>
        <w:t>Pregoeiro</w:t>
      </w:r>
      <w:r>
        <w:rPr>
          <w:color w:val="000000"/>
        </w:rPr>
        <w:t xml:space="preserve"> reputará o licitante inabilitado, por falta de condição de participação;</w:t>
      </w:r>
    </w:p>
    <w:p>
      <w:pPr>
        <w:pStyle w:val="3"/>
        <w:numPr>
          <w:ilvl w:val="2"/>
          <w:numId w:val="1"/>
        </w:numPr>
        <w:tabs>
          <w:tab w:val="left" w:pos="1134"/>
        </w:tabs>
        <w:spacing w:before="0" w:beforeAutospacing="0" w:after="0" w:afterAutospacing="0"/>
        <w:jc w:val="both"/>
        <w:textAlignment w:val="baseline"/>
      </w:pPr>
      <w:r>
        <w:rPr>
          <w:color w:val="000000"/>
        </w:rPr>
        <w:t xml:space="preserve">No caso de inabilitação, haverá nova verificação, pelo sistema, da eventual ocorrência do empate ficto, previsto nos </w:t>
      </w:r>
      <w:r>
        <w:fldChar w:fldCharType="begin"/>
      </w:r>
      <w:r>
        <w:rPr>
          <w:rStyle w:val="54"/>
        </w:rPr>
        <w:instrText xml:space="preserve"> HYPERLINK "https://www.planalto.gov.br/ccivil_03/leis/lcp/lcp123.htm" \l "art44"</w:instrText>
      </w:r>
      <w:r>
        <w:rPr>
          <w:rStyle w:val="54"/>
        </w:rPr>
        <w:fldChar w:fldCharType="separate"/>
      </w:r>
      <w:r>
        <w:rPr>
          <w:rStyle w:val="54"/>
        </w:rPr>
        <w:t>arts. 44 e 45 da Lei Complementar Federal nº 123, de 2006</w:t>
      </w:r>
      <w:r>
        <w:rPr>
          <w:rStyle w:val="54"/>
        </w:rPr>
        <w:fldChar w:fldCharType="end"/>
      </w:r>
      <w:r>
        <w:rPr>
          <w:color w:val="000000"/>
        </w:rPr>
        <w:t>, seguindo-se a disciplina antes estabelecida para aceitação da proposta subsequente.</w:t>
      </w:r>
    </w:p>
    <w:p>
      <w:pPr>
        <w:pStyle w:val="3"/>
        <w:numPr>
          <w:ilvl w:val="1"/>
          <w:numId w:val="1"/>
        </w:numPr>
        <w:tabs>
          <w:tab w:val="left" w:pos="1134"/>
        </w:tabs>
        <w:spacing w:before="0" w:beforeAutospacing="0" w:after="0" w:afterAutospacing="0"/>
        <w:ind w:left="0" w:firstLine="567"/>
        <w:jc w:val="both"/>
        <w:textAlignment w:val="baseline"/>
      </w:pPr>
      <w:r>
        <w:t>Após a entrega dos documentos para habilitação, não será permitida a substituição ou a apresentação de novos documentos, salvo em sede de diligência, para (</w:t>
      </w:r>
      <w:r>
        <w:fldChar w:fldCharType="begin"/>
      </w:r>
      <w:r>
        <w:rPr>
          <w:rStyle w:val="54"/>
        </w:rPr>
        <w:instrText xml:space="preserve"> HYPERLINK "http://www.planalto.gov.br/ccivil_03/_ato2019-2022/2021/lei/L14133.htm" \l "art64"</w:instrText>
      </w:r>
      <w:r>
        <w:rPr>
          <w:rStyle w:val="54"/>
        </w:rPr>
        <w:fldChar w:fldCharType="separate"/>
      </w:r>
      <w:r>
        <w:rPr>
          <w:rStyle w:val="54"/>
        </w:rPr>
        <w:t>art. 64 da Lei Federal nº 14.133, de 2021</w:t>
      </w:r>
      <w:r>
        <w:rPr>
          <w:rStyle w:val="54"/>
        </w:rPr>
        <w:fldChar w:fldCharType="end"/>
      </w:r>
      <w:r>
        <w:t>):</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t>complementação de informações acerca dos documentos já apresentados pelos licitantes e desde que necessária para apurar fatos existentes à época da abertura do certame;</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t>atualização de documentos cuja validade tenha expirado após a data de recebimento das propostas.</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Havendo a necessidade de envio de documentos de habilitação complementares, necessários à confirmação daqueles exigidos neste Edital e já apresentados, o licitante será convocado a encaminhá-los, em formato digital, via sistema, no prazo de 2 (duas) horas, sob pena de inabilitação.</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Somente poderá haver a prorrogação no prazo do item anterior, caso o licitante solicite sua prorrogação dentro do tempo limite concedido.</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Somente haverá a necessidade de comprovação do preenchimento de requisitos mediante apresentação dos documentos originais não-digitais quando houver dúvida em relação à integridade do documento digital </w:t>
      </w:r>
      <w:r>
        <w:t>ou quando a lei expressamente o exigir</w:t>
      </w:r>
      <w:r>
        <w:rPr>
          <w:color w:val="000000"/>
        </w:rPr>
        <w:t>.</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Não serão aceitos documentos de habilitação com indicação de CNPJ/CPF diferentes, salvo aqueles legalmente permitidos.</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bookmarkStart w:id="27" w:name="art64§1"/>
      <w:bookmarkEnd w:id="27"/>
      <w:bookmarkStart w:id="28" w:name="art64§2"/>
      <w:bookmarkEnd w:id="28"/>
      <w:r>
        <w:rPr>
          <w:color w:val="000000"/>
        </w:rPr>
        <w:t>Para os documentos que têm prazo de validade e este não estiver expresso no documento, será considerada a validade de 90 (noventa) dias, a partir de sua emissão, se outro prazo não estiver fixado em lei.</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Havendo necessidade de analisar minuciosamente os documentos exigidos, o </w:t>
      </w:r>
      <w:r>
        <w:t>Pregoeiro</w:t>
      </w:r>
      <w:r>
        <w:rPr>
          <w:color w:val="000000"/>
        </w:rPr>
        <w:t xml:space="preserve"> suspenderá a sessão, informando no “</w:t>
      </w:r>
      <w:r>
        <w:rPr>
          <w:i/>
          <w:iCs/>
          <w:color w:val="000000"/>
        </w:rPr>
        <w:t>chat</w:t>
      </w:r>
      <w:r>
        <w:rPr>
          <w:color w:val="000000"/>
        </w:rPr>
        <w:t>” a nova data e horário para a continuidade.</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themeColor="text1"/>
        </w:rPr>
        <w:t xml:space="preserve">Atendidas </w:t>
      </w:r>
      <w:r>
        <w:rPr>
          <w:color w:val="000000"/>
        </w:rPr>
        <w:t>todas</w:t>
      </w:r>
      <w:r>
        <w:rPr>
          <w:color w:val="000000" w:themeColor="text1"/>
        </w:rPr>
        <w:t xml:space="preserve"> as disposições deste Edital, a licitante classificada em primeiro lugar será declarada vencedora da licitação.</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themeColor="text1"/>
        </w:rPr>
        <w:t>Serão disponibilizados para acesso público os documentos que compõem a proposta dos licitantes convocados para apresentação de propostas, após a fase de envio de lances.</w:t>
      </w:r>
    </w:p>
    <w:p>
      <w:pPr>
        <w:pStyle w:val="2"/>
        <w:spacing w:before="360" w:after="0"/>
      </w:pPr>
      <w:bookmarkStart w:id="29" w:name="_Toc149517449"/>
      <w:r>
        <w:rPr>
          <w:rStyle w:val="45"/>
        </w:rPr>
        <w:t>HABILITAÇÃO JURÍDICA</w:t>
      </w:r>
      <w:bookmarkEnd w:id="29"/>
    </w:p>
    <w:p>
      <w:pPr>
        <w:pStyle w:val="3"/>
        <w:numPr>
          <w:ilvl w:val="1"/>
          <w:numId w:val="1"/>
        </w:numPr>
        <w:tabs>
          <w:tab w:val="left" w:pos="1134"/>
        </w:tabs>
        <w:spacing w:before="120" w:beforeAutospacing="0" w:after="120" w:afterAutospacing="0"/>
        <w:ind w:left="0" w:firstLine="567"/>
        <w:jc w:val="both"/>
        <w:textAlignment w:val="baseline"/>
      </w:pPr>
      <w:r>
        <w:rPr>
          <w:color w:val="000000"/>
        </w:rPr>
        <w:t>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w:t>
      </w:r>
      <w:r>
        <w:fldChar w:fldCharType="begin"/>
      </w:r>
      <w:r>
        <w:rPr>
          <w:rStyle w:val="54"/>
        </w:rPr>
        <w:instrText xml:space="preserve"> HYPERLINK "https://www.planalto.gov.br/ccivil_03/_ato2019-2022/2021/lei/l14133.htm" \l "art66"</w:instrText>
      </w:r>
      <w:r>
        <w:rPr>
          <w:rStyle w:val="54"/>
        </w:rPr>
        <w:fldChar w:fldCharType="separate"/>
      </w:r>
      <w:r>
        <w:rPr>
          <w:rStyle w:val="54"/>
        </w:rPr>
        <w:t>art. 66 da Lei Federal nº 14.133, de 2021</w:t>
      </w:r>
      <w:r>
        <w:rPr>
          <w:rStyle w:val="54"/>
        </w:rPr>
        <w:fldChar w:fldCharType="end"/>
      </w:r>
      <w:r>
        <w:rPr>
          <w:color w:val="000000"/>
        </w:rPr>
        <w:t>), nos seguintes termos:</w:t>
      </w:r>
    </w:p>
    <w:p>
      <w:pPr>
        <w:pStyle w:val="3"/>
        <w:numPr>
          <w:ilvl w:val="2"/>
          <w:numId w:val="8"/>
        </w:numPr>
        <w:tabs>
          <w:tab w:val="left" w:pos="1134"/>
        </w:tabs>
        <w:spacing w:before="120" w:beforeAutospacing="0" w:after="0" w:afterAutospacing="0"/>
        <w:jc w:val="both"/>
        <w:textAlignment w:val="baseline"/>
        <w:rPr>
          <w:rFonts w:ascii="Times New Roman" w:hAnsi="Times New Roman"/>
        </w:rPr>
      </w:pPr>
      <w:r>
        <w:rPr>
          <w:color w:val="000000"/>
        </w:rPr>
        <w:t>No caso de empresário individual, inscrição no Registro Público de Empresas Mercantis, a cargo da Junta Comercial da respectiva sede;</w:t>
      </w:r>
    </w:p>
    <w:p>
      <w:pPr>
        <w:pStyle w:val="3"/>
        <w:numPr>
          <w:ilvl w:val="2"/>
          <w:numId w:val="8"/>
        </w:numPr>
        <w:tabs>
          <w:tab w:val="left" w:pos="1134"/>
        </w:tabs>
        <w:spacing w:before="0" w:beforeAutospacing="0" w:after="0" w:afterAutospacing="0"/>
        <w:jc w:val="both"/>
        <w:textAlignment w:val="baseline"/>
        <w:rPr>
          <w:rFonts w:ascii="Times New Roman" w:hAnsi="Times New Roman"/>
        </w:rPr>
      </w:pPr>
      <w:r>
        <w:rPr>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pPr>
        <w:pStyle w:val="3"/>
        <w:numPr>
          <w:ilvl w:val="2"/>
          <w:numId w:val="8"/>
        </w:numPr>
        <w:tabs>
          <w:tab w:val="left" w:pos="1134"/>
        </w:tabs>
        <w:spacing w:before="0" w:beforeAutospacing="0" w:after="0" w:afterAutospacing="0"/>
        <w:jc w:val="both"/>
        <w:textAlignment w:val="baseline"/>
        <w:rPr>
          <w:rFonts w:ascii="Times New Roman" w:hAnsi="Times New Roman"/>
        </w:rPr>
      </w:pPr>
      <w:r>
        <w:t>No caso de sociedades por ações, registro na Comissão de Valores Mobiliários - CVM, acompanhado de documentos que comprovem a eleição de seus administradores;</w:t>
      </w:r>
    </w:p>
    <w:p>
      <w:pPr>
        <w:pStyle w:val="3"/>
        <w:numPr>
          <w:ilvl w:val="2"/>
          <w:numId w:val="8"/>
        </w:numPr>
        <w:tabs>
          <w:tab w:val="left" w:pos="1134"/>
        </w:tabs>
        <w:spacing w:before="0" w:beforeAutospacing="0" w:after="0" w:afterAutospacing="0"/>
        <w:jc w:val="both"/>
        <w:textAlignment w:val="baseline"/>
        <w:rPr>
          <w:rFonts w:ascii="Times New Roman" w:hAnsi="Times New Roman"/>
        </w:rPr>
      </w:pPr>
      <w:r>
        <w:rPr>
          <w:color w:val="000000"/>
        </w:rPr>
        <w:t>No caso de ser o participante sucursal, filial ou agência, inscrição no Registro Público de Empresas Mercantis onde opera, com averbação no Registro onde tem sede a matriz;</w:t>
      </w:r>
    </w:p>
    <w:p>
      <w:pPr>
        <w:pStyle w:val="3"/>
        <w:numPr>
          <w:ilvl w:val="2"/>
          <w:numId w:val="8"/>
        </w:numPr>
        <w:tabs>
          <w:tab w:val="left" w:pos="1134"/>
        </w:tabs>
        <w:spacing w:before="0" w:beforeAutospacing="0" w:after="0" w:afterAutospacing="0"/>
        <w:jc w:val="both"/>
        <w:textAlignment w:val="baseline"/>
        <w:rPr>
          <w:rFonts w:ascii="Times New Roman" w:hAnsi="Times New Roman"/>
        </w:rPr>
      </w:pPr>
      <w:r>
        <w:rPr>
          <w:color w:val="000000"/>
        </w:rPr>
        <w:t>No caso de sociedade simples, inscrição do ato constitutivo no Registro Civil das Pessoas Jurídicas do local de sua sede, acompanhada de prova da indicação dos seus administradores;</w:t>
      </w:r>
    </w:p>
    <w:p>
      <w:pPr>
        <w:pStyle w:val="3"/>
        <w:numPr>
          <w:ilvl w:val="2"/>
          <w:numId w:val="8"/>
        </w:numPr>
        <w:tabs>
          <w:tab w:val="left" w:pos="1134"/>
        </w:tabs>
        <w:spacing w:before="0" w:beforeAutospacing="0" w:after="120" w:afterAutospacing="0"/>
        <w:jc w:val="both"/>
        <w:textAlignment w:val="baseline"/>
        <w:rPr>
          <w:rFonts w:ascii="Times New Roman" w:hAnsi="Times New Roman"/>
        </w:rPr>
      </w:pPr>
      <w:r>
        <w:rPr>
          <w:color w:val="000000"/>
        </w:rPr>
        <w:t>No caso de sociedade empresária estrangeira em funcionamento no País, decreto de autorização.</w:t>
      </w:r>
    </w:p>
    <w:p>
      <w:pPr>
        <w:pStyle w:val="3"/>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rPr>
          <w:color w:val="000000"/>
        </w:rPr>
        <w:t>Os documentos acima deverão estar acompanhados de todas as alterações ou da</w:t>
      </w:r>
      <w:r>
        <w:rPr>
          <w:color w:val="000000"/>
        </w:rPr>
        <w:br w:type="textWrapping"/>
      </w:r>
      <w:r>
        <w:rPr>
          <w:color w:val="000000"/>
        </w:rPr>
        <w:t>consolidação respectiva.</w:t>
      </w:r>
    </w:p>
    <w:p>
      <w:pPr>
        <w:pStyle w:val="2"/>
        <w:spacing w:before="360" w:after="0"/>
      </w:pPr>
      <w:bookmarkStart w:id="30" w:name="_Toc149517450"/>
      <w:r>
        <w:rPr>
          <w:rStyle w:val="45"/>
        </w:rPr>
        <w:t>QUALIFICAÇÃO TÉCNICO-PROFISSIONAL E TÉCNICO-OPERACIONAL</w:t>
      </w:r>
      <w:bookmarkEnd w:id="30"/>
    </w:p>
    <w:p>
      <w:pPr>
        <w:pStyle w:val="3"/>
        <w:numPr>
          <w:ilvl w:val="1"/>
          <w:numId w:val="1"/>
        </w:numPr>
        <w:tabs>
          <w:tab w:val="left" w:pos="1134"/>
        </w:tabs>
        <w:spacing w:before="120" w:beforeAutospacing="0" w:after="120" w:afterAutospacing="0"/>
        <w:ind w:left="0" w:firstLine="567"/>
        <w:jc w:val="both"/>
        <w:textAlignment w:val="baseline"/>
        <w:rPr>
          <w:rFonts w:ascii="Times New Roman" w:hAnsi="Times New Roman"/>
        </w:rPr>
      </w:pPr>
      <w:r>
        <w:rPr>
          <w:color w:val="000000"/>
        </w:rPr>
        <w:t>A documentação relativa à qualificação técnica consistirá em apresentar as seguintes comprovações:</w:t>
      </w:r>
    </w:p>
    <w:p>
      <w:pPr>
        <w:pStyle w:val="174"/>
        <w:numPr>
          <w:ilvl w:val="0"/>
          <w:numId w:val="0"/>
        </w:numPr>
        <w:ind w:left="360" w:firstLine="0"/>
        <w:jc w:val="both"/>
        <w:rPr>
          <w:rFonts w:ascii="Times New Roman" w:hAnsi="Times New Roman"/>
        </w:rPr>
      </w:pPr>
      <w:r>
        <w:rPr>
          <w:rFonts w:ascii="Times New Roman" w:hAnsi="Times New Roman" w:cs="Times New Roman"/>
          <w:b/>
          <w:bCs/>
          <w:sz w:val="24"/>
          <w:szCs w:val="24"/>
        </w:rPr>
        <w:t xml:space="preserve">a) </w:t>
      </w:r>
      <w:r>
        <w:rPr>
          <w:rFonts w:ascii="Times New Roman" w:hAnsi="Times New Roman" w:cs="Times New Roman"/>
          <w:sz w:val="24"/>
          <w:szCs w:val="24"/>
        </w:rPr>
        <w:t>Um ou mais Atestado de Capacidade Técnica,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pPr>
        <w:pStyle w:val="174"/>
        <w:numPr>
          <w:ilvl w:val="0"/>
          <w:numId w:val="0"/>
        </w:numPr>
        <w:ind w:left="360" w:firstLine="0"/>
        <w:jc w:val="both"/>
        <w:rPr>
          <w:rFonts w:ascii="Times New Roman" w:hAnsi="Times New Roman" w:eastAsia="Calibri" w:cs="Times New Roman"/>
          <w:b/>
          <w:bCs/>
          <w:color w:val="000000"/>
          <w:sz w:val="24"/>
          <w:szCs w:val="24"/>
        </w:rPr>
      </w:pPr>
    </w:p>
    <w:p>
      <w:pPr>
        <w:pStyle w:val="174"/>
        <w:widowControl/>
        <w:numPr>
          <w:ilvl w:val="0"/>
          <w:numId w:val="0"/>
        </w:numPr>
        <w:suppressAutoHyphens/>
        <w:bidi w:val="0"/>
        <w:spacing w:before="0" w:after="0" w:line="100" w:lineRule="atLeast"/>
        <w:ind w:left="1134" w:right="0" w:firstLine="0"/>
        <w:jc w:val="both"/>
        <w:rPr>
          <w:rFonts w:ascii="Times New Roman" w:hAnsi="Times New Roman"/>
        </w:rPr>
      </w:pPr>
      <w:r>
        <w:rPr>
          <w:rFonts w:ascii="Times New Roman" w:hAnsi="Times New Roman" w:cs="Times New Roman" w:eastAsiaTheme="minorHAnsi"/>
          <w:b/>
          <w:bCs/>
          <w:color w:val="000000"/>
          <w:sz w:val="24"/>
          <w:szCs w:val="24"/>
          <w:shd w:val="clear" w:fill="auto"/>
        </w:rPr>
        <w:t xml:space="preserve">a.1) </w:t>
      </w:r>
      <w:r>
        <w:rPr>
          <w:rFonts w:ascii="Times New Roman" w:hAnsi="Times New Roman" w:cs="Times New Roman" w:eastAsiaTheme="minorHAnsi"/>
          <w:color w:val="000000"/>
          <w:sz w:val="24"/>
          <w:szCs w:val="24"/>
          <w:shd w:val="clear" w:fill="auto"/>
        </w:rPr>
        <w:t>A Câmara de Primavera do Leste para comprovar a veracidade dos atestados, poderá requisitar cópias dos respectivos contratos e aditivos e/ou outros documentos comprobatórios do conteúdo declarado.</w:t>
      </w:r>
    </w:p>
    <w:p>
      <w:pPr>
        <w:pStyle w:val="174"/>
        <w:numPr>
          <w:ilvl w:val="0"/>
          <w:numId w:val="0"/>
        </w:numPr>
        <w:ind w:left="360" w:firstLine="0"/>
        <w:jc w:val="both"/>
        <w:rPr>
          <w:rFonts w:ascii="Times New Roman" w:hAnsi="Times New Roman"/>
        </w:rPr>
      </w:pPr>
      <w:r>
        <w:rPr>
          <w:rFonts w:ascii="Times New Roman" w:hAnsi="Times New Roman" w:cs="Times New Roman" w:eastAsiaTheme="minorHAnsi"/>
          <w:color w:val="000000"/>
          <w:sz w:val="24"/>
          <w:szCs w:val="24"/>
          <w:shd w:val="clear" w:fill="auto"/>
        </w:rPr>
        <w:t xml:space="preserve"> </w:t>
      </w:r>
    </w:p>
    <w:p>
      <w:pPr>
        <w:pStyle w:val="174"/>
        <w:numPr>
          <w:ilvl w:val="0"/>
          <w:numId w:val="0"/>
        </w:numPr>
        <w:ind w:left="360" w:firstLine="0"/>
        <w:jc w:val="both"/>
        <w:rPr>
          <w:rFonts w:ascii="Times New Roman" w:hAnsi="Times New Roman"/>
        </w:rPr>
      </w:pPr>
      <w:r>
        <w:rPr>
          <w:rFonts w:ascii="Times New Roman" w:hAnsi="Times New Roman" w:cs="Times New Roman" w:eastAsiaTheme="minorHAnsi"/>
          <w:b/>
          <w:bCs/>
          <w:color w:val="000000"/>
          <w:sz w:val="24"/>
          <w:szCs w:val="24"/>
          <w:shd w:val="clear" w:fill="auto"/>
        </w:rPr>
        <w:t>b)</w:t>
      </w:r>
      <w:r>
        <w:rPr>
          <w:rFonts w:ascii="Times New Roman" w:hAnsi="Times New Roman" w:cs="Times New Roman" w:eastAsiaTheme="minorHAnsi"/>
          <w:color w:val="000000"/>
          <w:sz w:val="24"/>
          <w:szCs w:val="24"/>
          <w:shd w:val="clear" w:fill="auto"/>
        </w:rPr>
        <w:t xml:space="preserve"> </w:t>
      </w:r>
      <w:r>
        <w:rPr>
          <w:rFonts w:ascii="Times New Roman" w:hAnsi="Times New Roman" w:cs="Times New Roman"/>
          <w:color w:val="000000"/>
          <w:sz w:val="24"/>
          <w:szCs w:val="24"/>
          <w:shd w:val="clear" w:fill="auto"/>
          <w:lang w:val="pt-BR"/>
        </w:rPr>
        <w:t>D</w:t>
      </w:r>
      <w:r>
        <w:rPr>
          <w:rFonts w:ascii="Times New Roman" w:hAnsi="Times New Roman" w:cs="Times New Roman" w:eastAsiaTheme="minorHAnsi"/>
          <w:color w:val="000000"/>
          <w:sz w:val="24"/>
          <w:szCs w:val="24"/>
          <w:shd w:val="clear" w:fill="auto"/>
        </w:rPr>
        <w:t>emais itens relativ</w:t>
      </w:r>
      <w:r>
        <w:rPr>
          <w:rFonts w:ascii="Times New Roman" w:hAnsi="Times New Roman" w:cs="Times New Roman"/>
          <w:color w:val="000000"/>
          <w:sz w:val="24"/>
          <w:szCs w:val="24"/>
          <w:shd w:val="clear" w:fill="auto"/>
          <w:lang w:val="pt-BR"/>
        </w:rPr>
        <w:t>os</w:t>
      </w:r>
      <w:r>
        <w:rPr>
          <w:rFonts w:ascii="Times New Roman" w:hAnsi="Times New Roman" w:cs="Times New Roman" w:eastAsiaTheme="minorHAnsi"/>
          <w:color w:val="000000"/>
          <w:sz w:val="24"/>
          <w:szCs w:val="24"/>
          <w:shd w:val="clear" w:fill="auto"/>
        </w:rPr>
        <w:t xml:space="preserve"> à qualificação técnica</w:t>
      </w:r>
      <w:r>
        <w:rPr>
          <w:rFonts w:ascii="Times New Roman" w:hAnsi="Times New Roman" w:cs="Times New Roman"/>
          <w:color w:val="000000"/>
          <w:sz w:val="24"/>
          <w:szCs w:val="24"/>
          <w:shd w:val="clear" w:fill="auto"/>
          <w:lang w:val="pt-BR"/>
        </w:rPr>
        <w:t xml:space="preserve"> </w:t>
      </w:r>
      <w:r>
        <w:rPr>
          <w:rFonts w:ascii="Times New Roman" w:hAnsi="Times New Roman" w:cs="Times New Roman" w:eastAsiaTheme="minorHAnsi"/>
          <w:color w:val="000000"/>
          <w:sz w:val="24"/>
          <w:szCs w:val="24"/>
          <w:shd w:val="clear" w:fill="auto"/>
        </w:rPr>
        <w:t xml:space="preserve">solicitados no Anexo I  - Termo de Referência. </w:t>
      </w:r>
    </w:p>
    <w:p>
      <w:pPr>
        <w:pStyle w:val="2"/>
        <w:spacing w:before="360" w:after="0"/>
      </w:pPr>
      <w:bookmarkStart w:id="31" w:name="_Toc149517451"/>
      <w:r>
        <w:rPr>
          <w:rStyle w:val="45"/>
        </w:rPr>
        <w:t>REGULARIDADE FISCAL, SOCIAL E TRABALHISTA</w:t>
      </w:r>
      <w:bookmarkEnd w:id="31"/>
    </w:p>
    <w:p>
      <w:pPr>
        <w:pStyle w:val="3"/>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rPr>
          <w:color w:val="000000"/>
        </w:rPr>
        <w:t>As habilitações fiscal, social e trabalhista serão aferidas mediante a verificação dos seguintes requisitos:</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a inscrição no Cadastro Nacional da Pessoa Jurídica (CNPJ);</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a inscrição no cadastro de contribuintes estadual, relativo ao domicílio ou sede do licitante, pertinente ao seu ramo de atividade e compatível com o objeto contratual;</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a regularidade perante a Fazenda federal, estadual e municipal do domicílio ou sede do licitante, ou outra equivalente, na forma da lei;</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a regularidade relativa à Seguridade Social e ao FGTS, que demonstre cumprimento dos encargos sociais instituídos por lei;</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a regularidade perante a Justiça do Trabalho;</w:t>
      </w:r>
    </w:p>
    <w:p>
      <w:pPr>
        <w:pStyle w:val="3"/>
        <w:numPr>
          <w:ilvl w:val="2"/>
          <w:numId w:val="1"/>
        </w:numPr>
        <w:tabs>
          <w:tab w:val="left" w:pos="1134"/>
        </w:tabs>
        <w:spacing w:before="0" w:beforeAutospacing="0" w:after="0" w:afterAutospacing="0"/>
        <w:jc w:val="both"/>
        <w:textAlignment w:val="baseline"/>
      </w:pPr>
      <w:r>
        <w:rPr>
          <w:color w:val="000000"/>
        </w:rPr>
        <w:t xml:space="preserve">o cumprimento do disposto no </w:t>
      </w:r>
      <w:r>
        <w:fldChar w:fldCharType="begin"/>
      </w:r>
      <w:r>
        <w:rPr>
          <w:rStyle w:val="54"/>
        </w:rPr>
        <w:instrText xml:space="preserve"> HYPERLINK "https://www.planalto.gov.br/ccivil_03/constituicao/constituicao.htm" \l "art7"</w:instrText>
      </w:r>
      <w:r>
        <w:rPr>
          <w:rStyle w:val="54"/>
        </w:rPr>
        <w:fldChar w:fldCharType="separate"/>
      </w:r>
      <w:r>
        <w:rPr>
          <w:rStyle w:val="54"/>
        </w:rPr>
        <w:t>art. 7º, inc. XXXIII, da Constituição Federal de 1988</w:t>
      </w:r>
      <w:r>
        <w:rPr>
          <w:rStyle w:val="54"/>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Serão aceitas certidões negativas e certidões positivas com efeito de negativas.</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Caso a proposta mais vantajosa seja ofertada por licitante qualificada como microempresa (ME) ou empresa de pequeno porte (EPP),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outra microempresa (ME) ou empresa de pequeno porte (EPP) com alguma restrição na documentação fiscal, social e trabalhista, será concedido o mesmo prazo para regularização.</w:t>
      </w:r>
    </w:p>
    <w:p>
      <w:pPr>
        <w:pStyle w:val="2"/>
        <w:spacing w:before="360" w:after="0"/>
      </w:pPr>
      <w:bookmarkStart w:id="32" w:name="_Toc149517452"/>
      <w:r>
        <w:rPr>
          <w:rStyle w:val="45"/>
        </w:rPr>
        <w:t>HABILITAÇÃO ECONÔMICO-FINANCEIRA</w:t>
      </w:r>
      <w:bookmarkEnd w:id="32"/>
    </w:p>
    <w:p>
      <w:pPr>
        <w:pStyle w:val="3"/>
        <w:numPr>
          <w:ilvl w:val="1"/>
          <w:numId w:val="1"/>
        </w:numPr>
        <w:tabs>
          <w:tab w:val="left" w:pos="1134"/>
        </w:tabs>
        <w:spacing w:before="120" w:beforeAutospacing="0" w:after="0" w:afterAutospacing="0"/>
        <w:ind w:left="0" w:firstLine="567"/>
        <w:jc w:val="both"/>
        <w:textAlignment w:val="baseline"/>
      </w:pPr>
      <w:r>
        <w:rPr>
          <w:color w:val="000000"/>
        </w:rPr>
        <w:t xml:space="preserve">Em atenção à parte final do </w:t>
      </w:r>
      <w:r>
        <w:fldChar w:fldCharType="begin"/>
      </w:r>
      <w:r>
        <w:rPr>
          <w:rStyle w:val="54"/>
        </w:rPr>
        <w:instrText xml:space="preserve"> HYPERLINK "http://www.planalto.gov.br/ccivil_03/constituicao/constituicao.htm" \l "art37"</w:instrText>
      </w:r>
      <w:r>
        <w:rPr>
          <w:rStyle w:val="54"/>
        </w:rPr>
        <w:fldChar w:fldCharType="separate"/>
      </w:r>
      <w:r>
        <w:rPr>
          <w:rStyle w:val="54"/>
        </w:rPr>
        <w:t>art. 37, XXI, da Constituição Federal de 1988</w:t>
      </w:r>
      <w:r>
        <w:rPr>
          <w:rStyle w:val="54"/>
        </w:rPr>
        <w:fldChar w:fldCharType="end"/>
      </w:r>
      <w:r>
        <w:rPr>
          <w:color w:val="000000"/>
        </w:rPr>
        <w:t xml:space="preserve">, não haverá exigência de qualificação econômico-financeira, previstas no </w:t>
      </w:r>
      <w:r>
        <w:fldChar w:fldCharType="begin"/>
      </w:r>
      <w:r>
        <w:rPr>
          <w:rStyle w:val="54"/>
        </w:rPr>
        <w:instrText xml:space="preserve"> HYPERLINK "https://www.planalto.gov.br/ccivil_03/_ato2019-2022/2021/lei/l14133.htm" \l "art69"</w:instrText>
      </w:r>
      <w:r>
        <w:rPr>
          <w:rStyle w:val="54"/>
        </w:rPr>
        <w:fldChar w:fldCharType="separate"/>
      </w:r>
      <w:r>
        <w:rPr>
          <w:rStyle w:val="54"/>
        </w:rPr>
        <w:t>art. 69 da Lei Federal nº 14.133, de 2021</w:t>
      </w:r>
      <w:r>
        <w:rPr>
          <w:rStyle w:val="54"/>
        </w:rPr>
        <w:fldChar w:fldCharType="end"/>
      </w:r>
      <w:r>
        <w:rPr>
          <w:color w:val="000000"/>
        </w:rPr>
        <w:t>.</w:t>
      </w:r>
    </w:p>
    <w:p>
      <w:pPr>
        <w:pStyle w:val="2"/>
        <w:spacing w:before="360" w:after="0"/>
      </w:pPr>
      <w:bookmarkStart w:id="33" w:name="_Toc149517453"/>
      <w:r>
        <w:rPr>
          <w:rStyle w:val="45"/>
        </w:rPr>
        <w:t>OUTROS DOCUMENTOS</w:t>
      </w:r>
      <w:bookmarkEnd w:id="33"/>
    </w:p>
    <w:p>
      <w:pPr>
        <w:pStyle w:val="3"/>
        <w:numPr>
          <w:ilvl w:val="1"/>
          <w:numId w:val="1"/>
        </w:numPr>
        <w:tabs>
          <w:tab w:val="left" w:pos="1134"/>
        </w:tabs>
        <w:spacing w:before="120" w:beforeAutospacing="0" w:after="0" w:afterAutospacing="0"/>
        <w:ind w:left="0" w:firstLine="567"/>
        <w:jc w:val="both"/>
        <w:textAlignment w:val="baseline"/>
      </w:pPr>
      <w:r>
        <w:rPr>
          <w:color w:val="000000"/>
        </w:rPr>
        <w:t xml:space="preserve">Sob pena de inabilitação, o licitante deverá apresentar declarações, conforme modelo constante no </w:t>
      </w:r>
      <w:r>
        <w:fldChar w:fldCharType="begin"/>
      </w:r>
      <w:r>
        <w:instrText xml:space="preserve"> HYPERLINK \l "_ANEXO_III_-" \h </w:instrText>
      </w:r>
      <w:r>
        <w:fldChar w:fldCharType="separate"/>
      </w:r>
      <w:r>
        <w:rPr>
          <w:rStyle w:val="54"/>
        </w:rPr>
        <w:t>Anexo III - Modelo de Declarações</w:t>
      </w:r>
      <w:r>
        <w:rPr>
          <w:rStyle w:val="54"/>
        </w:rPr>
        <w:fldChar w:fldCharType="end"/>
      </w:r>
      <w:r>
        <w:rPr>
          <w:color w:val="000000"/>
        </w:rPr>
        <w:t>, de que:</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está ciente e concorda com as condições contidas no Edital e seus anexos, bem como de que cumpre plenamente os requisitos de habilitação definidos no Edital;</w:t>
      </w:r>
    </w:p>
    <w:p>
      <w:pPr>
        <w:pStyle w:val="3"/>
        <w:numPr>
          <w:ilvl w:val="2"/>
          <w:numId w:val="1"/>
        </w:numPr>
        <w:tabs>
          <w:tab w:val="left" w:pos="1134"/>
        </w:tabs>
        <w:spacing w:before="0" w:after="0"/>
        <w:jc w:val="both"/>
        <w:textAlignment w:val="baseline"/>
        <w:rPr>
          <w:rFonts w:ascii="Times New Roman" w:hAnsi="Times New Roman"/>
        </w:rPr>
      </w:pPr>
      <w:r>
        <w:rPr>
          <w:color w:val="000000"/>
        </w:rPr>
        <w:t>inexistem fatos impeditivos para sua habilitação no certame, ciente da obrigatoriedade de declarar ocorrências posteriores;</w:t>
      </w:r>
    </w:p>
    <w:p>
      <w:pPr>
        <w:pStyle w:val="3"/>
        <w:numPr>
          <w:ilvl w:val="2"/>
          <w:numId w:val="1"/>
        </w:numPr>
        <w:tabs>
          <w:tab w:val="left" w:pos="1134"/>
        </w:tabs>
        <w:spacing w:before="0" w:beforeAutospacing="0" w:after="0" w:afterAutospacing="0"/>
        <w:jc w:val="both"/>
        <w:textAlignment w:val="baseline"/>
      </w:pPr>
      <w:r>
        <w:rPr>
          <w:color w:val="000000"/>
        </w:rPr>
        <w:t xml:space="preserve">não emprega menor de 18 anos em trabalho noturno, perigoso ou insalubre e não emprega menor de 16 anos, salvo menor, a partir de 14 anos, na condição de aprendiz, nos termos do </w:t>
      </w:r>
      <w:r>
        <w:fldChar w:fldCharType="begin"/>
      </w:r>
      <w:r>
        <w:rPr>
          <w:rStyle w:val="54"/>
        </w:rPr>
        <w:instrText xml:space="preserve"> HYPERLINK "https://www.planalto.gov.br/ccivil_03/constituicao/constituicao.htm" \l "art7"</w:instrText>
      </w:r>
      <w:r>
        <w:rPr>
          <w:rStyle w:val="54"/>
        </w:rPr>
        <w:fldChar w:fldCharType="separate"/>
      </w:r>
      <w:r>
        <w:rPr>
          <w:rStyle w:val="54"/>
        </w:rPr>
        <w:t>art. 7°, XXXIII, da Constituição Federal de 1988</w:t>
      </w:r>
      <w:r>
        <w:rPr>
          <w:rStyle w:val="54"/>
        </w:rPr>
        <w:fldChar w:fldCharType="end"/>
      </w:r>
      <w:r>
        <w:rPr>
          <w:color w:val="000000"/>
        </w:rPr>
        <w:t>;</w:t>
      </w:r>
    </w:p>
    <w:p>
      <w:pPr>
        <w:pStyle w:val="3"/>
        <w:numPr>
          <w:ilvl w:val="2"/>
          <w:numId w:val="1"/>
        </w:numPr>
        <w:tabs>
          <w:tab w:val="left" w:pos="1134"/>
        </w:tabs>
        <w:spacing w:before="0" w:beforeAutospacing="0" w:after="0" w:afterAutospacing="0"/>
        <w:jc w:val="both"/>
        <w:textAlignment w:val="baseline"/>
      </w:pPr>
      <w:r>
        <w:t xml:space="preserve">não possui empregados executando trabalho degradante ou forçado, observando o disposto nos </w:t>
      </w:r>
      <w:r>
        <w:fldChar w:fldCharType="begin"/>
      </w:r>
      <w:r>
        <w:rPr>
          <w:rStyle w:val="54"/>
        </w:rPr>
        <w:instrText xml:space="preserve"> HYPERLINK "https://www.planalto.gov.br/ccivil_03/constituicao/constituicao.htm" \l "art5"</w:instrText>
      </w:r>
      <w:r>
        <w:rPr>
          <w:rStyle w:val="54"/>
        </w:rPr>
        <w:fldChar w:fldCharType="separate"/>
      </w:r>
      <w:r>
        <w:rPr>
          <w:rStyle w:val="54"/>
        </w:rPr>
        <w:t>incisos III e IV do art. 1º e no inciso III do art. 5º da Constituição Federal de 1988</w:t>
      </w:r>
      <w:r>
        <w:rPr>
          <w:rStyle w:val="54"/>
        </w:rPr>
        <w:fldChar w:fldCharType="end"/>
      </w:r>
      <w:r>
        <w:t>;</w:t>
      </w:r>
    </w:p>
    <w:p>
      <w:pPr>
        <w:pStyle w:val="3"/>
        <w:numPr>
          <w:ilvl w:val="2"/>
          <w:numId w:val="1"/>
        </w:numPr>
        <w:tabs>
          <w:tab w:val="left" w:pos="1134"/>
        </w:tabs>
        <w:spacing w:before="0" w:beforeAutospacing="0" w:after="0" w:afterAutospacing="0"/>
        <w:jc w:val="both"/>
        <w:textAlignment w:val="baseline"/>
      </w:pPr>
      <w:r>
        <w:rPr>
          <w:color w:val="000000"/>
        </w:rPr>
        <w:t xml:space="preserve">não mantém vínculo de natureza técnica, comercial, econômica, financeira, trabalhista ou civil com dirigente da </w:t>
      </w:r>
      <w:bookmarkStart w:id="34" w:name="_Hlk149515729"/>
      <w:r>
        <w:rPr>
          <w:color w:val="000000"/>
        </w:rPr>
        <w:t>Câmara Municipal de Primavera do Leste - MT</w:t>
      </w:r>
      <w:bookmarkEnd w:id="34"/>
      <w:r>
        <w:t xml:space="preserve"> </w:t>
      </w:r>
      <w:r>
        <w:rPr>
          <w:color w:val="000000"/>
        </w:rPr>
        <w:t>ou que deles seja cônjuge, companheiro ou parente em linha reta, colateral ou por afinidade, até o terceiro grau (</w:t>
      </w:r>
      <w:r>
        <w:fldChar w:fldCharType="begin"/>
      </w:r>
      <w:r>
        <w:rPr>
          <w:rStyle w:val="54"/>
        </w:rPr>
        <w:instrText xml:space="preserve"> HYPERLINK "https://www.planalto.gov.br/ccivil_03/_ato2019-2022/2021/lei/l14133.htm" \l "art14"</w:instrText>
      </w:r>
      <w:r>
        <w:rPr>
          <w:rStyle w:val="54"/>
        </w:rPr>
        <w:fldChar w:fldCharType="separate"/>
      </w:r>
      <w:r>
        <w:rPr>
          <w:rStyle w:val="54"/>
        </w:rPr>
        <w:t>art. 14, IV, da Lei Federal nº 14.133, de 2021</w:t>
      </w:r>
      <w:r>
        <w:rPr>
          <w:rStyle w:val="54"/>
        </w:rPr>
        <w:fldChar w:fldCharType="end"/>
      </w:r>
      <w:r>
        <w:rPr>
          <w:color w:val="000000"/>
        </w:rPr>
        <w:t>);</w:t>
      </w:r>
    </w:p>
    <w:p>
      <w:pPr>
        <w:pStyle w:val="3"/>
        <w:numPr>
          <w:ilvl w:val="2"/>
          <w:numId w:val="1"/>
        </w:numPr>
        <w:tabs>
          <w:tab w:val="left" w:pos="1134"/>
        </w:tabs>
        <w:spacing w:before="0" w:beforeAutospacing="0" w:after="0" w:afterAutospacing="0"/>
        <w:jc w:val="both"/>
        <w:textAlignment w:val="baseline"/>
      </w:pPr>
      <w:r>
        <w:rPr>
          <w:color w:val="000000"/>
        </w:rPr>
        <w:t xml:space="preserve">cumpre as exigências de reserva de cargos para pessoa com deficiência e para reabilitado da Previdência Social, previstas em lei e em outras normas específicas, em especial no </w:t>
      </w:r>
      <w:r>
        <w:fldChar w:fldCharType="begin"/>
      </w:r>
      <w:r>
        <w:rPr>
          <w:rStyle w:val="54"/>
        </w:rPr>
        <w:instrText xml:space="preserve"> HYPERLINK "https://www.planalto.gov.br/ccivil_03/leis/l8213cons.htm" \l "art93"</w:instrText>
      </w:r>
      <w:r>
        <w:rPr>
          <w:rStyle w:val="54"/>
        </w:rPr>
        <w:fldChar w:fldCharType="separate"/>
      </w:r>
      <w:r>
        <w:rPr>
          <w:rStyle w:val="54"/>
        </w:rPr>
        <w:t>art. 93 da Lei Federal nº 8.213, de 1991</w:t>
      </w:r>
      <w:r>
        <w:rPr>
          <w:rStyle w:val="54"/>
        </w:rPr>
        <w:fldChar w:fldCharType="end"/>
      </w:r>
      <w:r>
        <w:rPr>
          <w:color w:val="000000"/>
        </w:rPr>
        <w:t xml:space="preserve"> (</w:t>
      </w:r>
      <w:r>
        <w:fldChar w:fldCharType="begin"/>
      </w:r>
      <w:r>
        <w:rPr>
          <w:rStyle w:val="54"/>
        </w:rPr>
        <w:instrText xml:space="preserve"> HYPERLINK "https://www.planalto.gov.br/ccivil_03/_ato2019-2022/2021/lei/l14133.htm" \l "art63"</w:instrText>
      </w:r>
      <w:r>
        <w:rPr>
          <w:rStyle w:val="54"/>
        </w:rPr>
        <w:fldChar w:fldCharType="separate"/>
      </w:r>
      <w:r>
        <w:rPr>
          <w:rStyle w:val="54"/>
        </w:rPr>
        <w:t>art. 63, IV, da Lei Federal nº 14.133, de 2021</w:t>
      </w:r>
      <w:r>
        <w:rPr>
          <w:rStyle w:val="54"/>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pPr>
      <w:bookmarkStart w:id="35" w:name="_Ref117000019"/>
      <w:r>
        <w:t xml:space="preserve">O </w:t>
      </w:r>
      <w:r>
        <w:rPr>
          <w:color w:val="000000"/>
        </w:rPr>
        <w:t>fornecedor</w:t>
      </w:r>
      <w:r>
        <w:t xml:space="preserve"> enquadrado como microempresa ou empresa de pequeno porte deverá declarar, ainda, em campo próprio do sistema eletrônico, que cumpre os requisitos estabelecidos no </w:t>
      </w:r>
      <w:r>
        <w:fldChar w:fldCharType="begin"/>
      </w:r>
      <w:r>
        <w:rPr>
          <w:rStyle w:val="54"/>
        </w:rPr>
        <w:instrText xml:space="preserve"> HYPERLINK "https://www.planalto.gov.br/ccivil_03/leis/lcp/lcp123.htm" \l "art3"</w:instrText>
      </w:r>
      <w:r>
        <w:rPr>
          <w:rStyle w:val="54"/>
        </w:rPr>
        <w:fldChar w:fldCharType="separate"/>
      </w:r>
      <w:r>
        <w:rPr>
          <w:rStyle w:val="54"/>
        </w:rPr>
        <w:t>artigo 3° da Lei Complementar Federal nº 123, de 2006</w:t>
      </w:r>
      <w:r>
        <w:rPr>
          <w:rStyle w:val="54"/>
        </w:rPr>
        <w:fldChar w:fldCharType="end"/>
      </w:r>
      <w:r>
        <w:t xml:space="preserve">, estando apto a usufruir do tratamento favorecido estabelecido em seus </w:t>
      </w:r>
      <w:r>
        <w:fldChar w:fldCharType="begin"/>
      </w:r>
      <w:r>
        <w:rPr>
          <w:rStyle w:val="54"/>
        </w:rPr>
        <w:instrText xml:space="preserve"> HYPERLINK "https://www.planalto.gov.br/ccivil_03/leis/lcp/lcp123.htm" \l "art42"</w:instrText>
      </w:r>
      <w:r>
        <w:rPr>
          <w:rStyle w:val="54"/>
        </w:rPr>
        <w:fldChar w:fldCharType="separate"/>
      </w:r>
      <w:bookmarkEnd w:id="35"/>
      <w:r>
        <w:rPr>
          <w:rStyle w:val="54"/>
        </w:rPr>
        <w:t>arts. 42 a 49</w:t>
      </w:r>
      <w:r>
        <w:rPr>
          <w:rStyle w:val="54"/>
        </w:rPr>
        <w:fldChar w:fldCharType="end"/>
      </w:r>
      <w:r>
        <w:t xml:space="preserve">, observado o disposto nos </w:t>
      </w:r>
      <w:r>
        <w:fldChar w:fldCharType="begin"/>
      </w:r>
      <w:r>
        <w:rPr>
          <w:rStyle w:val="54"/>
        </w:rPr>
        <w:instrText xml:space="preserve"> HYPERLINK "http://www.planalto.gov.br/ccivil_03/_ato2019-2022/2021/lei/L14133.htm" \l "art4§1"</w:instrText>
      </w:r>
      <w:r>
        <w:rPr>
          <w:rStyle w:val="54"/>
        </w:rPr>
        <w:fldChar w:fldCharType="separate"/>
      </w:r>
      <w:r>
        <w:rPr>
          <w:rStyle w:val="54"/>
        </w:rPr>
        <w:t>§§ 1º ao 3º do art. 4º, da Lei Federal nº 14.133, de 2021.</w:t>
      </w:r>
      <w:r>
        <w:rPr>
          <w:rStyle w:val="54"/>
        </w:rPr>
        <w:fldChar w:fldCharType="end"/>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A declaração falsa relativa ao cumprimento de qualquer condição sujeitará o licitante às sanções previstas em lei e neste Edital, em especial a infração administrativa prevista no </w:t>
      </w:r>
      <w:r>
        <w:fldChar w:fldCharType="begin"/>
      </w:r>
      <w:r>
        <w:rPr>
          <w:rStyle w:val="54"/>
        </w:rPr>
        <w:instrText xml:space="preserve"> HYPERLINK "https://www.planalto.gov.br/ccivil_03/_ato2019-2022/2021/lei/l14133.htm" \l "art156"</w:instrText>
      </w:r>
      <w:r>
        <w:rPr>
          <w:rStyle w:val="54"/>
        </w:rPr>
        <w:fldChar w:fldCharType="separate"/>
      </w:r>
      <w:r>
        <w:rPr>
          <w:rStyle w:val="54"/>
        </w:rPr>
        <w:t>art. 156, IV, da Lei Federal nº 14.133, de 2021</w:t>
      </w:r>
      <w:r>
        <w:rPr>
          <w:rStyle w:val="54"/>
        </w:rPr>
        <w:fldChar w:fldCharType="end"/>
      </w:r>
      <w:r>
        <w:rPr>
          <w:color w:val="000000"/>
        </w:rPr>
        <w:t>.</w:t>
      </w:r>
    </w:p>
    <w:p>
      <w:pPr>
        <w:pStyle w:val="2"/>
        <w:spacing w:before="360" w:after="0"/>
      </w:pPr>
      <w:bookmarkStart w:id="36" w:name="_Toc149517454"/>
      <w:r>
        <w:rPr>
          <w:rStyle w:val="45"/>
        </w:rPr>
        <w:t>ENCAMINHAMENTO DA PROPOSTA VENCEDORA</w:t>
      </w:r>
      <w:bookmarkEnd w:id="36"/>
    </w:p>
    <w:p>
      <w:pPr>
        <w:pStyle w:val="3"/>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rPr>
          <w:color w:val="000000"/>
        </w:rPr>
        <w:t xml:space="preserve">A proposta final do licitante habilitado e declarado vencedor deverá ser encaminhada no prazo de 2 (duas) horas, a contar da solicitação do </w:t>
      </w:r>
      <w:r>
        <w:t>Pregoeiro</w:t>
      </w:r>
      <w:r>
        <w:rPr>
          <w:color w:val="000000"/>
        </w:rPr>
        <w:t xml:space="preserve"> no sistema eletrônico e deverá:</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ser redigida em língua portuguesa, datilografada ou digitada, em uma via, sem emendas, rasuras, entrelinhas ou ressalvas, devendo a última folha ser assinada e as demais rubricadas pelo licitante ou seu representante legal, se a assinatura não for digital;</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conter a indicação do banco, número da conta e agência do licitante vencedor, para fins de pagamento;</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conter os dados pessoais do responsável pela assinatura da contratação, devendo ser enviado cópia dos documentos pessoais e documento que comprove a representatividade.</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proposta final deverá ser documentada nos autos e será levada em consideração no decorrer da execução do contrato e aplicação de eventual sanção administrativa à futura contratada, se for o caso.</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Todas as especificações do objeto contidas na proposta, tais como marca, modelo, tipo, fabricante e procedência, vinculam a futura contratada.</w:t>
      </w:r>
    </w:p>
    <w:p>
      <w:pPr>
        <w:pStyle w:val="3"/>
        <w:numPr>
          <w:ilvl w:val="1"/>
          <w:numId w:val="1"/>
        </w:numPr>
        <w:tabs>
          <w:tab w:val="left" w:pos="1134"/>
        </w:tabs>
        <w:spacing w:before="0" w:beforeAutospacing="0" w:after="0" w:afterAutospacing="0"/>
        <w:ind w:left="0" w:firstLine="567"/>
        <w:jc w:val="both"/>
        <w:textAlignment w:val="baseline"/>
      </w:pPr>
      <w:r>
        <w:rPr>
          <w:color w:val="000000"/>
        </w:rPr>
        <w:t>Os preços deverão ser expressos em moeda corrente nacional, o valor unitário em algarismos e o valor global em algarismos (</w:t>
      </w:r>
      <w:r>
        <w:fldChar w:fldCharType="begin"/>
      </w:r>
      <w:r>
        <w:rPr>
          <w:rStyle w:val="54"/>
        </w:rPr>
        <w:instrText xml:space="preserve"> HYPERLINK "https://www.planalto.gov.br/ccivil_03/_ato2019-2022/2021/lei/l14133.htm" \l "art12"</w:instrText>
      </w:r>
      <w:r>
        <w:rPr>
          <w:rStyle w:val="54"/>
        </w:rPr>
        <w:fldChar w:fldCharType="separate"/>
      </w:r>
      <w:r>
        <w:rPr>
          <w:rStyle w:val="54"/>
        </w:rPr>
        <w:t>art. 12, II, da Lei Federal nº 14.133, de 2021</w:t>
      </w:r>
      <w:r>
        <w:rPr>
          <w:rStyle w:val="54"/>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oferta deverá ser firme e precisa, limitada, rigorosamente, ao objeto deste Edital, sem conter alternativas de preço ou de qualquer outra condição que induza o julgamento a mais de um resultado, sob pena de desclassificação.</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proposta deverá obedecer aos termos deste Edital e seus Anexos, não sendo considerada aquela que não corresponda às especificações ali contidas ou que estabeleça vínculo à proposta de outro licitante.</w:t>
      </w:r>
    </w:p>
    <w:p>
      <w:pPr>
        <w:pStyle w:val="2"/>
        <w:spacing w:before="360" w:after="0"/>
      </w:pPr>
      <w:bookmarkStart w:id="37" w:name="_Toc149517455"/>
      <w:r>
        <w:rPr>
          <w:rStyle w:val="45"/>
        </w:rPr>
        <w:t>RECURSO(S) ADMINISTRATIVO(S)</w:t>
      </w:r>
      <w:bookmarkEnd w:id="37"/>
    </w:p>
    <w:p>
      <w:pPr>
        <w:pStyle w:val="3"/>
        <w:numPr>
          <w:ilvl w:val="1"/>
          <w:numId w:val="1"/>
        </w:numPr>
        <w:tabs>
          <w:tab w:val="left" w:pos="1134"/>
        </w:tabs>
        <w:spacing w:before="120" w:beforeAutospacing="0" w:after="0" w:afterAutospacing="0"/>
        <w:ind w:left="0" w:firstLine="567"/>
        <w:jc w:val="both"/>
        <w:textAlignment w:val="baseline"/>
      </w:pPr>
      <w:r>
        <w:rPr>
          <w:color w:val="000000"/>
        </w:rPr>
        <w:t xml:space="preserve">A interposição de recurso referente ao julgamento das propostas, à habilitação ou inabilitação de licitantes, à anulação ou revogação da licitação, observará o disposto no </w:t>
      </w:r>
      <w:r>
        <w:fldChar w:fldCharType="begin"/>
      </w:r>
      <w:r>
        <w:rPr>
          <w:rStyle w:val="54"/>
        </w:rPr>
        <w:instrText xml:space="preserve"> HYPERLINK "https://www.planalto.gov.br/ccivil_03/_ato2019-2022/2021/lei/l14133.htm" \l "art165"</w:instrText>
      </w:r>
      <w:r>
        <w:rPr>
          <w:rStyle w:val="54"/>
        </w:rPr>
        <w:fldChar w:fldCharType="separate"/>
      </w:r>
      <w:r>
        <w:rPr>
          <w:rStyle w:val="54"/>
        </w:rPr>
        <w:t>art. 165 da Lei Federal nº 14.133, de 2021</w:t>
      </w:r>
      <w:r>
        <w:rPr>
          <w:rStyle w:val="54"/>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Qualquer licitante poderá, durante o prazo concedido na sessão pública, não inferior a 10 (dez) minutos, de forma imediata após o término do julgamento das propostas e do ato de habilitação ou inabilitação, em campo próprio do sistema, manifestar sua INTENÇÃO DE RECORRER, com registro da síntese de suas razões, isto é, indicando contra qual(is) decisão(ões) pretende recorrer e por qual(is) motivo(s), sob pena de preclusão, ficando a autoridade superior autorizada a adjudicar o objeto à licitante vencedora.</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A aceitação de intenção de recurso apenas suspenderá a tramitação do processo licitatório em relação ao(s) item(ns) recorrido(s), inclusive quanto ao prazo de validade da proposta, o qual somente recomeçará a contar quando da decisão final da autoridade competente, sendo realizado o encerramento da sessão e adjudicação do objeto pelo </w:t>
      </w:r>
      <w:r>
        <w:t>Pregoeiro</w:t>
      </w:r>
      <w:r>
        <w:rPr>
          <w:color w:val="000000"/>
        </w:rPr>
        <w:t xml:space="preserve"> em face dos demais itens do objeto da licitação.</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Os recursos e as contrarrazões deverão ser encaminhados em campo próprio do sistema, e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O RECURSO ADMINISTRATIVO poderá atacar qualquer ato decisório ou procedimento adotado pelo </w:t>
      </w:r>
      <w:r>
        <w:t>Pregoeiro</w:t>
      </w:r>
      <w:r>
        <w:rPr>
          <w:color w:val="000000"/>
        </w:rPr>
        <w:t xml:space="preserve"> durante todo o certame licitatório, não sendo meio adequado para impugnar regras do Edital e seus Anexos.</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Havendo registro de INTENÇÃO DE RECURSO, o </w:t>
      </w:r>
      <w:r>
        <w:t>Pregoeiro</w:t>
      </w:r>
      <w:r>
        <w:rPr>
          <w:color w:val="000000"/>
        </w:rPr>
        <w:t xml:space="preserve"> fará JUÍZO DE ADMISSIBILIDADE da intenção de recorrer manifestada, aceitando-a ou, motivadamente, rejeitando-a, em campo próprio do sistema, em razão da não observância dos pressupostos recursais de admissibilidade.</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Será rejeitada a INTENÇÃO DE RECURSO de caráter protelatório que:</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seja registrada por quem não tenha legítimo interesse;</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seja intempestiva;</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 xml:space="preserve">não ataque ato decisório ou procedimental praticado pelo </w:t>
      </w:r>
      <w:r>
        <w:t>Pregoeiro</w:t>
      </w:r>
      <w:r>
        <w:rPr>
          <w:color w:val="000000"/>
        </w:rPr>
        <w:t xml:space="preserve"> no certame; e/ou</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seja fundamentada em mera insatisfação do licitante, sem alegação de qualquer fato prejudicial ou desconforme com o presente Edital e/ou com a legislação vigente.</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apresentação das razões pela recorrente e de eventuais contrarrazões pelas demais licitantes será realizada exclusivamente no âmbito do sistema eletrônico, em campo próprio, no prazo de 3 (três) dias úteis, contados a partir da data de intimação ou de lavratura da ata e da data de intimação pessoal ou de divulgação da interposição do recurso, respectivamente, sendo-lhes assegurada vista imediata dos elementos indispensáveis à defesa dos seus interesses.</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Não é imprescindível haver total correspondência entre os fatos e fundamentos indicados na intenção de recurso e as razões escritas do respectivo recurso.</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Para justificar sua intenção de recorrer e fundamentar suas razões ou contrarrazões de recurso administrativo, o licitante interessado poderá solicitar vistas dos autos ou consultar as informações do certame disponíveis no próprio </w:t>
      </w:r>
      <w:r>
        <w:t>Portal Licitanet (</w:t>
      </w:r>
      <w:r>
        <w:fldChar w:fldCharType="begin"/>
      </w:r>
      <w:r>
        <w:instrText xml:space="preserve"> HYPERLINK "https://www.licitanet.com.br/" \h </w:instrText>
      </w:r>
      <w:r>
        <w:fldChar w:fldCharType="separate"/>
      </w:r>
      <w:r>
        <w:rPr>
          <w:rStyle w:val="54"/>
        </w:rPr>
        <w:t>https://www.licitanet.com.br/</w:t>
      </w:r>
      <w:r>
        <w:rPr>
          <w:rStyle w:val="54"/>
        </w:rPr>
        <w:fldChar w:fldCharType="end"/>
      </w:r>
      <w:r>
        <w:t>).</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Os autos do procedimento permanecerão com vista franqueada aos interessados. Para tanto, as empresas interessadas deverão entrar em contato com o </w:t>
      </w:r>
      <w:r>
        <w:t>Pregoeiro</w:t>
      </w:r>
      <w:r>
        <w:rPr>
          <w:color w:val="000000"/>
        </w:rPr>
        <w:t xml:space="preserve"> por intermédio do e-mail </w:t>
      </w:r>
      <w:r>
        <w:fldChar w:fldCharType="begin"/>
      </w:r>
      <w:r>
        <w:instrText xml:space="preserve"> HYPERLINK "mailto:licitacao@primaveradoleste.mt.leg.br" \h </w:instrText>
      </w:r>
      <w:r>
        <w:fldChar w:fldCharType="separate"/>
      </w:r>
      <w:r>
        <w:rPr>
          <w:rStyle w:val="54"/>
        </w:rPr>
        <w:t>licitacao@primaveradoleste.mt.leg.br</w:t>
      </w:r>
      <w:r>
        <w:rPr>
          <w:rStyle w:val="54"/>
        </w:rPr>
        <w:fldChar w:fldCharType="end"/>
      </w:r>
      <w:r>
        <w:rPr>
          <w:color w:val="000000"/>
        </w:rPr>
        <w:t xml:space="preserve"> ou, nos dias úteis e no horário de funcionamento da Câmara, pelo telefone: </w:t>
      </w:r>
      <w:r>
        <w:rPr>
          <w:color w:val="000000"/>
          <w:shd w:val="clear" w:fill="auto"/>
        </w:rPr>
        <w:t>3498-3590.</w:t>
      </w:r>
    </w:p>
    <w:p>
      <w:pPr>
        <w:pStyle w:val="3"/>
        <w:numPr>
          <w:ilvl w:val="1"/>
          <w:numId w:val="1"/>
        </w:numPr>
        <w:tabs>
          <w:tab w:val="left" w:pos="1134"/>
        </w:tabs>
        <w:spacing w:before="0" w:beforeAutospacing="0" w:after="0" w:afterAutospacing="0"/>
        <w:ind w:left="0" w:firstLine="567"/>
        <w:jc w:val="both"/>
        <w:textAlignment w:val="baseline"/>
      </w:pPr>
      <w:r>
        <w:t>A não apresentação das razões referente à intenção de recurso registrada no sistema, no prazo legal, importa preclusão do direito de recurso, possibilitando a adjudicação do objeto e homologação do certame. A critério do Pregoeiro ou da Autoridade Superior, e considerando eventuais indícios de ilegalidades ou irregularidades no julgamento do certame apontados na própria intenção de recurso, poderá haver a análise de mérito do recurso independente da apresentação das respectivas razões (ou de sua apresentação fora do prazo legal), como mero exercício do direito constitucional de petição (</w:t>
      </w:r>
      <w:r>
        <w:fldChar w:fldCharType="begin"/>
      </w:r>
      <w:r>
        <w:rPr>
          <w:rStyle w:val="54"/>
        </w:rPr>
        <w:instrText xml:space="preserve"> HYPERLINK "https://www.planalto.gov.br/ccivil_03/constituicao/constituicao.htm" \l "art5"</w:instrText>
      </w:r>
      <w:r>
        <w:rPr>
          <w:rStyle w:val="54"/>
        </w:rPr>
        <w:fldChar w:fldCharType="separate"/>
      </w:r>
      <w:r>
        <w:rPr>
          <w:rStyle w:val="54"/>
        </w:rPr>
        <w:t>art. 5º, XXXIV, "a", Constituição Federal de 1988</w:t>
      </w:r>
      <w:r>
        <w:rPr>
          <w:rStyle w:val="54"/>
        </w:rPr>
        <w:fldChar w:fldCharType="end"/>
      </w:r>
      <w:r>
        <w:t>).</w:t>
      </w:r>
    </w:p>
    <w:p>
      <w:pPr>
        <w:pStyle w:val="3"/>
        <w:numPr>
          <w:ilvl w:val="1"/>
          <w:numId w:val="1"/>
        </w:numPr>
        <w:tabs>
          <w:tab w:val="left" w:pos="1134"/>
        </w:tabs>
        <w:spacing w:before="0" w:beforeAutospacing="0" w:after="0" w:afterAutospacing="0"/>
        <w:ind w:left="0" w:firstLine="567"/>
        <w:jc w:val="both"/>
        <w:textAlignment w:val="baseline"/>
      </w:pPr>
      <w:r>
        <w:rPr>
          <w:color w:val="000000"/>
        </w:rPr>
        <w:t>Mesmo que o recurso administrativo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w:t>
      </w:r>
      <w:r>
        <w:fldChar w:fldCharType="begin"/>
      </w:r>
      <w:r>
        <w:instrText xml:space="preserve"> HYPERLINK "https://portal.stf.jus.br/jurisprudencia/sumariosumulas.asp?base=30&amp;sumula=1602" \h </w:instrText>
      </w:r>
      <w:r>
        <w:fldChar w:fldCharType="separate"/>
      </w:r>
      <w:r>
        <w:rPr>
          <w:rStyle w:val="54"/>
        </w:rPr>
        <w:t>Súmula nº 473 do STF</w:t>
      </w:r>
      <w:r>
        <w:rPr>
          <w:rStyle w:val="54"/>
        </w:rPr>
        <w:fldChar w:fldCharType="end"/>
      </w:r>
      <w:r>
        <w:rPr>
          <w:color w:val="000000"/>
        </w:rPr>
        <w:t xml:space="preserve"> e </w:t>
      </w:r>
      <w:r>
        <w:fldChar w:fldCharType="begin"/>
      </w:r>
      <w:r>
        <w:rPr>
          <w:rStyle w:val="54"/>
        </w:rPr>
        <w:instrText xml:space="preserve"> HYPERLINK "https://www.planalto.gov.br/ccivil_03/_ato2019-2022/2021/lei/l14133.htm" \l "art71"</w:instrText>
      </w:r>
      <w:r>
        <w:rPr>
          <w:rStyle w:val="54"/>
        </w:rPr>
        <w:fldChar w:fldCharType="separate"/>
      </w:r>
      <w:r>
        <w:rPr>
          <w:rStyle w:val="54"/>
        </w:rPr>
        <w:t>art. 71, § 3º, da Lei Federal nº 14.133, de 2021</w:t>
      </w:r>
      <w:r>
        <w:rPr>
          <w:rStyle w:val="54"/>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t>Não cabe RECURSO ADESIVO por ocasião do exercício do direito de contrarrazoar.</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Os recursos serão apreciados em fase única, conforme disposto no </w:t>
      </w:r>
      <w:r>
        <w:fldChar w:fldCharType="begin"/>
      </w:r>
      <w:r>
        <w:rPr>
          <w:rStyle w:val="54"/>
        </w:rPr>
        <w:instrText xml:space="preserve"> HYPERLINK "https://www.planalto.gov.br/ccivil_03/_ato2019-2022/2021/lei/l14133.htm" \l "art165"</w:instrText>
      </w:r>
      <w:r>
        <w:rPr>
          <w:rStyle w:val="54"/>
        </w:rPr>
        <w:fldChar w:fldCharType="separate"/>
      </w:r>
      <w:r>
        <w:rPr>
          <w:rStyle w:val="54"/>
        </w:rPr>
        <w:t>art. 165, §2º, da Lei Federal nº 14.133, de 2021</w:t>
      </w:r>
      <w:r>
        <w:rPr>
          <w:rStyle w:val="54"/>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Na análise e julgamento do recurso administrativo, poderá o </w:t>
      </w:r>
      <w:r>
        <w:t>Pregoeiro</w:t>
      </w:r>
      <w:r>
        <w:rPr>
          <w:color w:val="000000"/>
        </w:rPr>
        <w:t xml:space="preserve"> baixar em diligência os autos para fins de pronunciamento da unidade técnica competente, bem como para Assessoria Jurídica e/ou Assessoria Contábil.</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Decorridos os prazos de apresentação de razões e contrarrazões, o </w:t>
      </w:r>
      <w:r>
        <w:t>Pregoeiro</w:t>
      </w:r>
      <w:r>
        <w:rPr>
          <w:color w:val="000000"/>
        </w:rPr>
        <w:t xml:space="preserve"> deverá analisar fundamentadamente os fatos e fundamentos arguidos pelo(s) recorrente(s), podendo, em sede de JUÍZO DE RETRATAÇÃO:</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reconsiderar, total ou parcialmente, a decisão recorrida, reformando-a; ou</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manter inalterada a decisão recorrida.</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Qualquer que seja a decisão do </w:t>
      </w:r>
      <w:r>
        <w:t>Pregoeiro</w:t>
      </w:r>
      <w:r>
        <w:rPr>
          <w:color w:val="000000"/>
        </w:rPr>
        <w:t xml:space="preserve">, o processo será submetido, depois de devidamente instruído pelo </w:t>
      </w:r>
      <w:r>
        <w:t>Pregoeiro</w:t>
      </w:r>
      <w:r>
        <w:rPr>
          <w:color w:val="000000"/>
        </w:rPr>
        <w:t>, à apreciação da Autoridade Superior (</w:t>
      </w:r>
      <w:r>
        <w:fldChar w:fldCharType="begin"/>
      </w:r>
      <w:r>
        <w:rPr>
          <w:rStyle w:val="54"/>
        </w:rPr>
        <w:instrText xml:space="preserve"> HYPERLINK "https://www.planalto.gov.br/ccivil_03/_ato2019-2022/2021/lei/l14133.htm" \l "art165"</w:instrText>
      </w:r>
      <w:r>
        <w:rPr>
          <w:rStyle w:val="54"/>
        </w:rPr>
        <w:fldChar w:fldCharType="separate"/>
      </w:r>
      <w:r>
        <w:rPr>
          <w:rStyle w:val="54"/>
        </w:rPr>
        <w:t>art. 165, § 2º, da Lei Federal nº 14.133, de 2021</w:t>
      </w:r>
      <w:r>
        <w:rPr>
          <w:rStyle w:val="54"/>
        </w:rPr>
        <w:fldChar w:fldCharType="end"/>
      </w:r>
      <w:r>
        <w:rPr>
          <w:color w:val="000000"/>
        </w:rPr>
        <w:t xml:space="preserve">), que poderá: </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 xml:space="preserve">decidir de pronto o mérito do recurso, segundo os documentos e informações contidas nos autos, como também os fundamentos da decisão do </w:t>
      </w:r>
      <w:r>
        <w:t>Pregoeiro</w:t>
      </w:r>
      <w:r>
        <w:rPr>
          <w:color w:val="000000"/>
        </w:rPr>
        <w:t>; OU</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determinar prévia emissão de parecer da área técnica e/ou jurídico para subsidiar sua decisão.</w:t>
      </w:r>
    </w:p>
    <w:p>
      <w:pPr>
        <w:pStyle w:val="3"/>
        <w:numPr>
          <w:ilvl w:val="1"/>
          <w:numId w:val="1"/>
        </w:numPr>
        <w:tabs>
          <w:tab w:val="left" w:pos="1134"/>
        </w:tabs>
        <w:spacing w:before="0" w:beforeAutospacing="0" w:after="0" w:afterAutospacing="0"/>
        <w:ind w:left="0" w:firstLine="567"/>
        <w:jc w:val="both"/>
        <w:textAlignment w:val="baseline"/>
      </w:pPr>
      <w:r>
        <w:rPr>
          <w:color w:val="000000"/>
        </w:rPr>
        <w:t>O acolhimento do recurso importará na invalidação apenas dos atos que não possam ser aproveitados. (</w:t>
      </w:r>
      <w:r>
        <w:fldChar w:fldCharType="begin"/>
      </w:r>
      <w:r>
        <w:rPr>
          <w:rStyle w:val="54"/>
        </w:rPr>
        <w:instrText xml:space="preserve"> HYPERLINK "https://www.planalto.gov.br/ccivil_03/_ato2019-2022/2021/lei/l14133.htm" \l "art165"</w:instrText>
      </w:r>
      <w:r>
        <w:rPr>
          <w:rStyle w:val="54"/>
        </w:rPr>
        <w:fldChar w:fldCharType="separate"/>
      </w:r>
      <w:r>
        <w:rPr>
          <w:rStyle w:val="54"/>
        </w:rPr>
        <w:t>art. 165, §3º, da Lei Federal nº 14.133, de 2021</w:t>
      </w:r>
      <w:r>
        <w:rPr>
          <w:rStyle w:val="54"/>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Após decididos os recursos e constatada a regularidade dos atos praticados, o processo licitatório será enviado à autoridade competente da Câmara Municipal de Primavera do Leste - MT para adjudicar o objeto e homologar o procedimento licitatório, observado o disposto no </w:t>
      </w:r>
      <w:r>
        <w:fldChar w:fldCharType="begin"/>
      </w:r>
      <w:r>
        <w:rPr>
          <w:rStyle w:val="54"/>
        </w:rPr>
        <w:instrText xml:space="preserve"> HYPERLINK "https://www.planalto.gov.br/ccivil_03/_ato2019-2022/2021/lei/l14133.htm" \l "art71"</w:instrText>
      </w:r>
      <w:r>
        <w:rPr>
          <w:rStyle w:val="54"/>
        </w:rPr>
        <w:fldChar w:fldCharType="separate"/>
      </w:r>
      <w:r>
        <w:rPr>
          <w:rStyle w:val="54"/>
        </w:rPr>
        <w:t>art. 71 da Lei Federal nº 14.133, de 2021</w:t>
      </w:r>
      <w:r>
        <w:rPr>
          <w:rStyle w:val="54"/>
        </w:rPr>
        <w:fldChar w:fldCharType="end"/>
      </w:r>
      <w:r>
        <w:rPr>
          <w:color w:val="000000"/>
        </w:rPr>
        <w:t>.</w:t>
      </w:r>
    </w:p>
    <w:p>
      <w:pPr>
        <w:pStyle w:val="2"/>
        <w:spacing w:before="360" w:after="0"/>
      </w:pPr>
      <w:bookmarkStart w:id="38" w:name="_Toc149517456"/>
      <w:r>
        <w:rPr>
          <w:rStyle w:val="45"/>
        </w:rPr>
        <w:t>REABERTURA DA SESSÃO PÚBLICA</w:t>
      </w:r>
      <w:bookmarkEnd w:id="38"/>
    </w:p>
    <w:p>
      <w:pPr>
        <w:pStyle w:val="3"/>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t>A sessão pública poderá ser reaberta:</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t>Nas hipóteses de provimento de recurso que leve à anulação de atos anteriores à realização da sessão pública precedente ou em que seja anulada a própria sessão pública, situação em que serão repetidos os atos anulados e os que dele dependam;</w:t>
      </w:r>
    </w:p>
    <w:p>
      <w:pPr>
        <w:pStyle w:val="3"/>
        <w:numPr>
          <w:ilvl w:val="2"/>
          <w:numId w:val="1"/>
        </w:numPr>
        <w:tabs>
          <w:tab w:val="left" w:pos="1134"/>
        </w:tabs>
        <w:spacing w:before="0" w:beforeAutospacing="0" w:after="0" w:afterAutospacing="0"/>
        <w:jc w:val="both"/>
        <w:textAlignment w:val="baseline"/>
      </w:pPr>
      <w:r>
        <w:t xml:space="preserve">Quando houver erro na aceitação do preço melhor classificado ou quando o licitante declarado vencedor não assinar o contrato, não retirar o instrumento equivalente ou não comprovar a regularização fiscal, social e trabalhista, nos termos do </w:t>
      </w:r>
      <w:r>
        <w:fldChar w:fldCharType="begin"/>
      </w:r>
      <w:r>
        <w:rPr>
          <w:rStyle w:val="54"/>
        </w:rPr>
        <w:instrText xml:space="preserve"> HYPERLINK "https://www.planalto.gov.br/ccivil_03/leis/lcp/lcp123.htm" \l "art43"</w:instrText>
      </w:r>
      <w:r>
        <w:rPr>
          <w:rStyle w:val="54"/>
        </w:rPr>
        <w:fldChar w:fldCharType="separate"/>
      </w:r>
      <w:r>
        <w:rPr>
          <w:rStyle w:val="54"/>
        </w:rPr>
        <w:t>art. 43, §1º, da Lei Complementar Federal nº 123, de 2006</w:t>
      </w:r>
      <w:r>
        <w:rPr>
          <w:rStyle w:val="54"/>
        </w:rPr>
        <w:fldChar w:fldCharType="end"/>
      </w:r>
      <w:r>
        <w:t>. Nessas hipóteses, serão adotados os procedimentos imediatamente posteriores ao encerramento da etapa de lances.</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t>Todos os licitantes remanescentes deverão ser convocados para acompanhar a sessão reaberta.</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t>A convocação se dará por meio do sistema eletrônico (“</w:t>
      </w:r>
      <w:r>
        <w:rPr>
          <w:i/>
          <w:iCs/>
        </w:rPr>
        <w:t>chat</w:t>
      </w:r>
      <w:r>
        <w:t xml:space="preserve">”) ou </w:t>
      </w:r>
      <w:r>
        <w:rPr>
          <w:i/>
          <w:iCs/>
        </w:rPr>
        <w:t>e-mail</w:t>
      </w:r>
      <w:r>
        <w:t>, de acordo com a fase do procedimento licitatório, de acordo com o endereço eletrônico registrado na proposta.</w:t>
      </w:r>
    </w:p>
    <w:p>
      <w:pPr>
        <w:pStyle w:val="2"/>
        <w:spacing w:before="360" w:after="0"/>
      </w:pPr>
      <w:bookmarkStart w:id="39" w:name="_Toc149517457"/>
      <w:r>
        <w:rPr>
          <w:rStyle w:val="45"/>
        </w:rPr>
        <w:t>ENCERRAMENTO DA LICITAÇÃO</w:t>
      </w:r>
      <w:bookmarkEnd w:id="39"/>
    </w:p>
    <w:p>
      <w:pPr>
        <w:pStyle w:val="3"/>
        <w:numPr>
          <w:ilvl w:val="1"/>
          <w:numId w:val="1"/>
        </w:numPr>
        <w:tabs>
          <w:tab w:val="left" w:pos="1134"/>
        </w:tabs>
        <w:spacing w:before="120" w:beforeAutospacing="0" w:after="120" w:afterAutospacing="0"/>
        <w:ind w:left="0" w:firstLine="567"/>
        <w:jc w:val="both"/>
        <w:textAlignment w:val="baseline"/>
      </w:pPr>
      <w:r>
        <w:t xml:space="preserve">Nos </w:t>
      </w:r>
      <w:r>
        <w:rPr>
          <w:color w:val="000000"/>
        </w:rPr>
        <w:t>termos</w:t>
      </w:r>
      <w:r>
        <w:t xml:space="preserve"> do </w:t>
      </w:r>
      <w:r>
        <w:fldChar w:fldCharType="begin"/>
      </w:r>
      <w:r>
        <w:rPr>
          <w:rStyle w:val="54"/>
        </w:rPr>
        <w:instrText xml:space="preserve"> HYPERLINK "https://www.planalto.gov.br/ccivil_03/_ato2019-2022/2021/lei/l14133.htm" \l "art71"</w:instrText>
      </w:r>
      <w:r>
        <w:rPr>
          <w:rStyle w:val="54"/>
        </w:rPr>
        <w:fldChar w:fldCharType="separate"/>
      </w:r>
      <w:r>
        <w:rPr>
          <w:rStyle w:val="54"/>
        </w:rPr>
        <w:t>art. 71 da Lei Federal nº 14.133, de 2021</w:t>
      </w:r>
      <w:r>
        <w:rPr>
          <w:rStyle w:val="54"/>
        </w:rPr>
        <w:fldChar w:fldCharType="end"/>
      </w:r>
      <w:r>
        <w:t>, encerradas as fases de julgamento e habilitação, e exauridos os recursos administrativos, o processo licitatório será encaminhado à autoridade superior, que poderá:</w:t>
      </w:r>
    </w:p>
    <w:p>
      <w:pPr>
        <w:pStyle w:val="3"/>
        <w:numPr>
          <w:ilvl w:val="2"/>
          <w:numId w:val="9"/>
        </w:numPr>
        <w:tabs>
          <w:tab w:val="left" w:pos="1134"/>
        </w:tabs>
        <w:spacing w:before="120" w:after="0"/>
        <w:rPr>
          <w:rFonts w:ascii="Times New Roman" w:hAnsi="Times New Roman"/>
        </w:rPr>
      </w:pPr>
      <w:r>
        <w:t>determinar o retorno dos autos para saneamento de irregularidades;</w:t>
      </w:r>
    </w:p>
    <w:p>
      <w:pPr>
        <w:pStyle w:val="3"/>
        <w:numPr>
          <w:ilvl w:val="2"/>
          <w:numId w:val="9"/>
        </w:numPr>
        <w:tabs>
          <w:tab w:val="left" w:pos="1134"/>
        </w:tabs>
        <w:spacing w:before="0" w:after="0"/>
        <w:rPr>
          <w:rFonts w:ascii="Times New Roman" w:hAnsi="Times New Roman"/>
        </w:rPr>
      </w:pPr>
      <w:r>
        <w:t>revogar a licitação por motivo de conveniência e oportunidade;</w:t>
      </w:r>
    </w:p>
    <w:p>
      <w:pPr>
        <w:pStyle w:val="3"/>
        <w:numPr>
          <w:ilvl w:val="2"/>
          <w:numId w:val="9"/>
        </w:numPr>
        <w:tabs>
          <w:tab w:val="left" w:pos="1134"/>
        </w:tabs>
        <w:spacing w:before="0" w:after="0"/>
        <w:rPr>
          <w:rFonts w:ascii="Times New Roman" w:hAnsi="Times New Roman"/>
        </w:rPr>
      </w:pPr>
      <w:r>
        <w:t>proceder à anulação da licitação, de ofício ou mediante provocação de terceiros, sempre que presente ilegalidade insanável;</w:t>
      </w:r>
    </w:p>
    <w:p>
      <w:pPr>
        <w:pStyle w:val="3"/>
        <w:numPr>
          <w:ilvl w:val="2"/>
          <w:numId w:val="9"/>
        </w:numPr>
        <w:tabs>
          <w:tab w:val="left" w:pos="1134"/>
        </w:tabs>
        <w:spacing w:before="0" w:after="120"/>
        <w:rPr>
          <w:rFonts w:ascii="Times New Roman" w:hAnsi="Times New Roman"/>
        </w:rPr>
      </w:pPr>
      <w:r>
        <w:t>adjudicar o objeto e homologar a licitação.</w:t>
      </w:r>
    </w:p>
    <w:p>
      <w:pPr>
        <w:pStyle w:val="3"/>
        <w:numPr>
          <w:ilvl w:val="1"/>
          <w:numId w:val="1"/>
        </w:numPr>
        <w:tabs>
          <w:tab w:val="left" w:pos="1134"/>
        </w:tabs>
        <w:spacing w:before="120" w:beforeAutospacing="0" w:after="0" w:afterAutospacing="0"/>
        <w:ind w:left="0" w:firstLine="567"/>
        <w:jc w:val="both"/>
        <w:textAlignment w:val="baseline"/>
      </w:pPr>
      <w:r>
        <w:t xml:space="preserve">Ao </w:t>
      </w:r>
      <w:r>
        <w:rPr>
          <w:color w:val="000000"/>
        </w:rPr>
        <w:t>pronunciar</w:t>
      </w:r>
      <w:r>
        <w:t xml:space="preserve"> a nulidade, a autoridade indicará expressamente os atos com vícios insanáveis, tornando sem efeito todos os subsequentes que deles dependam, e dará ensejo à apuração de responsabilidade de quem lhes tenha dado causa (</w:t>
      </w:r>
      <w:r>
        <w:fldChar w:fldCharType="begin"/>
      </w:r>
      <w:r>
        <w:rPr>
          <w:rStyle w:val="54"/>
        </w:rPr>
        <w:instrText xml:space="preserve"> HYPERLINK "https://www.planalto.gov.br/ccivil_03/_ato2019-2022/2021/lei/l14133.htm" \l "art71"</w:instrText>
      </w:r>
      <w:r>
        <w:rPr>
          <w:rStyle w:val="54"/>
        </w:rPr>
        <w:fldChar w:fldCharType="separate"/>
      </w:r>
      <w:r>
        <w:rPr>
          <w:rStyle w:val="54"/>
        </w:rPr>
        <w:t>art. 71, §1º, da Lei Federal nº 14.133, de 2021</w:t>
      </w:r>
      <w:r>
        <w:rPr>
          <w:rStyle w:val="54"/>
        </w:rPr>
        <w:fldChar w:fldCharType="end"/>
      </w:r>
      <w:r>
        <w:t>).</w:t>
      </w:r>
    </w:p>
    <w:p>
      <w:pPr>
        <w:pStyle w:val="3"/>
        <w:numPr>
          <w:ilvl w:val="1"/>
          <w:numId w:val="1"/>
        </w:numPr>
        <w:tabs>
          <w:tab w:val="left" w:pos="1134"/>
        </w:tabs>
        <w:spacing w:before="0" w:beforeAutospacing="0" w:after="0" w:afterAutospacing="0"/>
        <w:ind w:left="0" w:firstLine="567"/>
        <w:jc w:val="both"/>
        <w:textAlignment w:val="baseline"/>
      </w:pPr>
      <w:r>
        <w:t>O motivo determinante para a revogação do processo licitatório deverá ser resultante de fato superveniente devidamente comprovado (</w:t>
      </w:r>
      <w:r>
        <w:fldChar w:fldCharType="begin"/>
      </w:r>
      <w:r>
        <w:rPr>
          <w:rStyle w:val="54"/>
        </w:rPr>
        <w:instrText xml:space="preserve"> HYPERLINK "https://www.planalto.gov.br/ccivil_03/_ato2019-2022/2021/lei/l14133.htm" \l "art71"</w:instrText>
      </w:r>
      <w:r>
        <w:rPr>
          <w:rStyle w:val="54"/>
        </w:rPr>
        <w:fldChar w:fldCharType="separate"/>
      </w:r>
      <w:r>
        <w:rPr>
          <w:rStyle w:val="54"/>
        </w:rPr>
        <w:t>art. 71, §2º, da Lei Federal nº 14.133, de 2021</w:t>
      </w:r>
      <w:r>
        <w:rPr>
          <w:rStyle w:val="54"/>
        </w:rPr>
        <w:fldChar w:fldCharType="end"/>
      </w:r>
      <w:r>
        <w:t>).</w:t>
      </w:r>
    </w:p>
    <w:p>
      <w:pPr>
        <w:pStyle w:val="3"/>
        <w:numPr>
          <w:ilvl w:val="1"/>
          <w:numId w:val="1"/>
        </w:numPr>
        <w:tabs>
          <w:tab w:val="left" w:pos="1134"/>
        </w:tabs>
        <w:spacing w:before="0" w:beforeAutospacing="0" w:after="0" w:afterAutospacing="0"/>
        <w:ind w:left="0" w:firstLine="567"/>
        <w:jc w:val="both"/>
        <w:textAlignment w:val="baseline"/>
      </w:pPr>
      <w:r>
        <w:t>Nos casos de anulação e revogação, será assegurada a prévia manifestação dos interessados (</w:t>
      </w:r>
      <w:r>
        <w:fldChar w:fldCharType="begin"/>
      </w:r>
      <w:r>
        <w:rPr>
          <w:rStyle w:val="54"/>
        </w:rPr>
        <w:instrText xml:space="preserve"> HYPERLINK "https://www.planalto.gov.br/ccivil_03/_ato2019-2022/2021/lei/l14133.htm" \l "art71"</w:instrText>
      </w:r>
      <w:r>
        <w:rPr>
          <w:rStyle w:val="54"/>
        </w:rPr>
        <w:fldChar w:fldCharType="separate"/>
      </w:r>
      <w:r>
        <w:rPr>
          <w:rStyle w:val="54"/>
        </w:rPr>
        <w:t>art. 71, §3º, da Lei Federal nº 14.133, de 2021</w:t>
      </w:r>
      <w:r>
        <w:rPr>
          <w:rStyle w:val="54"/>
        </w:rPr>
        <w:fldChar w:fldCharType="end"/>
      </w:r>
      <w:r>
        <w:t>).</w:t>
      </w:r>
    </w:p>
    <w:p>
      <w:pPr>
        <w:pStyle w:val="2"/>
        <w:spacing w:before="360" w:after="0"/>
      </w:pPr>
      <w:bookmarkStart w:id="40" w:name="_Toc149517458"/>
      <w:bookmarkStart w:id="41" w:name="_Toc144196064"/>
      <w:r>
        <w:rPr>
          <w:rStyle w:val="45"/>
        </w:rPr>
        <w:t>REGISTRO DE PREÇOS</w:t>
      </w:r>
      <w:bookmarkEnd w:id="40"/>
      <w:bookmarkEnd w:id="41"/>
    </w:p>
    <w:p>
      <w:pPr>
        <w:pStyle w:val="3"/>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t>Homologado o resultado da licitação, respeitada a ordem de classificação e a quantidade de fornecedores a serem registrados, convocará os particulares para assinatura da Ata de Registro de Preços - ARP (Anexo IV), no prazo de 5 (cinco) dias úteis, a qual se constitui em compromisso formal de fornecimento nas condições estabelecidas.</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t>O prazo de convocação poderá ser prorrogado uma vez, por igual período, mediante solicitação do licitante mais bem classificado ou do fornecedor convocado, desde que:</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t>a solicitação seja devidamente justificada e apresentada dentro do prazo; e</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t>a justificativa apresentada seja aceita pela Administração.</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t>A ata de registro de preços será assinada por meio de assinatura digital e disponibilizada no sistema de registro de preços.</w:t>
      </w:r>
    </w:p>
    <w:p>
      <w:pPr>
        <w:pStyle w:val="3"/>
        <w:numPr>
          <w:ilvl w:val="1"/>
          <w:numId w:val="1"/>
        </w:numPr>
        <w:tabs>
          <w:tab w:val="left" w:pos="1134"/>
        </w:tabs>
        <w:spacing w:before="0" w:beforeAutospacing="0" w:after="0" w:afterAutospacing="0"/>
        <w:ind w:left="0" w:firstLine="567"/>
        <w:jc w:val="both"/>
        <w:textAlignment w:val="baseline"/>
      </w:pPr>
      <w:r>
        <w:t xml:space="preserve">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 sem prejuízo da aplicação da(s) penalidade(s) do </w:t>
      </w:r>
      <w:r>
        <w:fldChar w:fldCharType="begin"/>
      </w:r>
      <w:r>
        <w:rPr>
          <w:rStyle w:val="54"/>
        </w:rPr>
        <w:instrText xml:space="preserve"> HYPERLINK "https://www.planalto.gov.br/ccivil_03/_ato2019-2022/2021/lei/l14133.htm" \l "art156"</w:instrText>
      </w:r>
      <w:r>
        <w:rPr>
          <w:rStyle w:val="54"/>
        </w:rPr>
        <w:fldChar w:fldCharType="separate"/>
      </w:r>
      <w:r>
        <w:rPr>
          <w:rStyle w:val="54"/>
        </w:rPr>
        <w:t>art. 156 da Lei Federal nº 14.133, de 2021</w:t>
      </w:r>
      <w:r>
        <w:rPr>
          <w:rStyle w:val="54"/>
        </w:rPr>
        <w:fldChar w:fldCharType="end"/>
      </w:r>
      <w:r>
        <w:t>.</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pPr>
        <w:pStyle w:val="3"/>
        <w:numPr>
          <w:ilvl w:val="1"/>
          <w:numId w:val="1"/>
        </w:numPr>
        <w:tabs>
          <w:tab w:val="left" w:pos="1134"/>
        </w:tabs>
        <w:spacing w:before="0" w:beforeAutospacing="0" w:after="0" w:afterAutospacing="0"/>
        <w:ind w:left="0" w:firstLine="567"/>
        <w:jc w:val="both"/>
        <w:textAlignment w:val="baseline"/>
      </w:pPr>
      <w:r>
        <w:t>O preço registrado, com a indicação dos fornecedores, será divulgado no PNCP (</w:t>
      </w:r>
      <w:r>
        <w:fldChar w:fldCharType="begin"/>
      </w:r>
      <w:r>
        <w:instrText xml:space="preserve"> HYPERLINK "https://pncp.gov.br/" \h </w:instrText>
      </w:r>
      <w:r>
        <w:fldChar w:fldCharType="separate"/>
      </w:r>
      <w:r>
        <w:rPr>
          <w:rStyle w:val="54"/>
        </w:rPr>
        <w:t>https://pncp.gov.br/</w:t>
      </w:r>
      <w:r>
        <w:rPr>
          <w:rStyle w:val="54"/>
        </w:rPr>
        <w:fldChar w:fldCharType="end"/>
      </w:r>
      <w:r>
        <w:t>) e disponibilizado durante a vigência da ata de registro de preços.</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t>A existência de preços registrados implicará compromisso de fornecimento nas condições estabelecidas, mas não obrigará a Administração a contratar, facultada a realização de licitação específica para a aquisição pretendida, desde que devidamente justificada, sendo assegurada ao beneficiário do registro a preferência de fornecimento em igualdade de condições.</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t>A Ata de Registro de Preços - ARP terá validade de 1 (um) ano, podendo ser prorrogada por igual período, desde que comprovado o preço vantajoso, limitada a 2 (dois) anos.</w:t>
      </w:r>
    </w:p>
    <w:p>
      <w:pPr>
        <w:pStyle w:val="3"/>
        <w:numPr>
          <w:ilvl w:val="1"/>
          <w:numId w:val="1"/>
        </w:numPr>
        <w:tabs>
          <w:tab w:val="left" w:pos="1134"/>
        </w:tabs>
        <w:spacing w:before="0" w:beforeAutospacing="0" w:after="0" w:afterAutospacing="0"/>
        <w:ind w:left="0" w:firstLine="567"/>
        <w:jc w:val="both"/>
        <w:textAlignment w:val="baseline"/>
      </w:pPr>
      <w:r>
        <w:t xml:space="preserve">Em caso de prorrogação, será garantido o REAJUSTE previsto no item </w:t>
      </w:r>
      <w:r>
        <w:fldChar w:fldCharType="begin"/>
      </w:r>
      <w:r>
        <w:instrText xml:space="preserve"> HYPERLINK \l "_REAJUSTE_(art._92," \h </w:instrText>
      </w:r>
      <w:r>
        <w:fldChar w:fldCharType="separate"/>
      </w:r>
      <w:r>
        <w:rPr>
          <w:rStyle w:val="54"/>
        </w:rPr>
        <w:t>“37 - REAJUSTE”</w:t>
      </w:r>
      <w:r>
        <w:rPr>
          <w:rStyle w:val="54"/>
        </w:rPr>
        <w:fldChar w:fldCharType="end"/>
      </w:r>
      <w:r>
        <w:t>.</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t>Não serão aceitas propostas para registros de preços com indicação de quantidades inferiores àquelas previstas em cada item do objeto da presente licitação, como também não serão permitidos registros de mais de um preço por cada item do objeto.</w:t>
      </w:r>
    </w:p>
    <w:p>
      <w:pPr>
        <w:pStyle w:val="3"/>
        <w:numPr>
          <w:ilvl w:val="1"/>
          <w:numId w:val="1"/>
        </w:numPr>
        <w:tabs>
          <w:tab w:val="left" w:pos="1134"/>
        </w:tabs>
        <w:spacing w:before="0" w:beforeAutospacing="0" w:after="0" w:afterAutospacing="0"/>
        <w:ind w:left="0" w:firstLine="567"/>
        <w:jc w:val="both"/>
        <w:textAlignment w:val="baseline"/>
      </w:pPr>
      <w:r>
        <w:t>Poderá haver ADESÃO à ARP por qualquer órgão ou entidade pública não participante do presente certame licitatório, desde que observados os limites, por órgão ou entidade, a 50% (cinquenta por cento) dos quantitativos dos itens do instrumento convocatório registrados na ata de registro de preços para o órgão gerenciador e para os órgãos participantes (</w:t>
      </w:r>
      <w:r>
        <w:fldChar w:fldCharType="begin"/>
      </w:r>
      <w:r>
        <w:rPr>
          <w:rStyle w:val="54"/>
        </w:rPr>
        <w:instrText xml:space="preserve"> HYPERLINK "https://www.planalto.gov.br/ccivil_03/_ato2019-2022/2021/lei/l14133.htm" \l "art86"</w:instrText>
      </w:r>
      <w:r>
        <w:rPr>
          <w:rStyle w:val="54"/>
        </w:rPr>
        <w:fldChar w:fldCharType="separate"/>
      </w:r>
      <w:r>
        <w:rPr>
          <w:rStyle w:val="54"/>
        </w:rPr>
        <w:t>art. 86, § 4º, da Lei Federal nº 14.133, de 2021</w:t>
      </w:r>
      <w:r>
        <w:rPr>
          <w:rStyle w:val="54"/>
        </w:rPr>
        <w:fldChar w:fldCharType="end"/>
      </w:r>
      <w:r>
        <w:t>).</w:t>
      </w:r>
    </w:p>
    <w:p>
      <w:pPr>
        <w:pStyle w:val="3"/>
        <w:numPr>
          <w:ilvl w:val="1"/>
          <w:numId w:val="1"/>
        </w:numPr>
        <w:tabs>
          <w:tab w:val="left" w:pos="1134"/>
        </w:tabs>
        <w:spacing w:before="0" w:beforeAutospacing="0" w:after="0" w:afterAutospacing="0"/>
        <w:ind w:left="0" w:firstLine="567"/>
        <w:jc w:val="both"/>
        <w:textAlignment w:val="baseline"/>
      </w:pPr>
      <w:r>
        <w:t>O quantitativo decorrente das adesões à ARP não poderá exceder, na totalidade, ao dobro do quantitativo de cada item registrado na ata de registro de preços para o órgão gerenciador e órgãos participantes, independentemente do número de órgãos não participantes que aderirem (</w:t>
      </w:r>
      <w:r>
        <w:fldChar w:fldCharType="begin"/>
      </w:r>
      <w:r>
        <w:rPr>
          <w:rStyle w:val="54"/>
        </w:rPr>
        <w:instrText xml:space="preserve"> HYPERLINK "https://www.planalto.gov.br/ccivil_03/_ato2019-2022/2021/lei/l14133.htm" \l "art86"</w:instrText>
      </w:r>
      <w:r>
        <w:rPr>
          <w:rStyle w:val="54"/>
        </w:rPr>
        <w:fldChar w:fldCharType="separate"/>
      </w:r>
      <w:r>
        <w:rPr>
          <w:rStyle w:val="54"/>
        </w:rPr>
        <w:t>art. 86, § 5º, da Lei Federal nº 14.133, de 2021</w:t>
      </w:r>
      <w:r>
        <w:rPr>
          <w:rStyle w:val="54"/>
        </w:rPr>
        <w:fldChar w:fldCharType="end"/>
      </w:r>
      <w:r>
        <w:t>).</w:t>
      </w:r>
    </w:p>
    <w:p>
      <w:pPr>
        <w:pStyle w:val="3"/>
        <w:numPr>
          <w:ilvl w:val="1"/>
          <w:numId w:val="1"/>
        </w:numPr>
        <w:tabs>
          <w:tab w:val="left" w:pos="1134"/>
        </w:tabs>
        <w:spacing w:before="0" w:beforeAutospacing="0" w:after="0" w:afterAutospacing="0"/>
        <w:ind w:left="0" w:firstLine="567"/>
        <w:jc w:val="both"/>
        <w:textAlignment w:val="baseline"/>
      </w:pPr>
      <w:r>
        <w:t>É expressamente proibida a participação de órgão ou entidade pública que já participe de outro SRP em andamento, ou integre outra ARP, com objetos semelhantes ao do presente SRP (</w:t>
      </w:r>
      <w:r>
        <w:fldChar w:fldCharType="begin"/>
      </w:r>
      <w:r>
        <w:rPr>
          <w:rStyle w:val="54"/>
        </w:rPr>
        <w:instrText xml:space="preserve"> HYPERLINK "https://www.planalto.gov.br/ccivil_03/_ato2019-2022/2021/lei/l14133.htm" \l "art82"</w:instrText>
      </w:r>
      <w:r>
        <w:rPr>
          <w:rStyle w:val="54"/>
        </w:rPr>
        <w:fldChar w:fldCharType="separate"/>
      </w:r>
      <w:r>
        <w:rPr>
          <w:rStyle w:val="54"/>
        </w:rPr>
        <w:t>art. 82, VIII, da Lei Federal nº 14.133, de 2021</w:t>
      </w:r>
      <w:r>
        <w:rPr>
          <w:rStyle w:val="54"/>
        </w:rPr>
        <w:fldChar w:fldCharType="end"/>
      </w:r>
      <w:r>
        <w:t>).</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t>Não poderá haver acréscimo(s) no(s) quantitativo(s) registrado(s) na ARP.</w:t>
      </w:r>
    </w:p>
    <w:p>
      <w:pPr>
        <w:pStyle w:val="3"/>
        <w:numPr>
          <w:ilvl w:val="1"/>
          <w:numId w:val="1"/>
        </w:numPr>
        <w:tabs>
          <w:tab w:val="left" w:pos="1134"/>
        </w:tabs>
        <w:spacing w:before="0" w:beforeAutospacing="0" w:after="0" w:afterAutospacing="0"/>
        <w:ind w:left="0" w:firstLine="567"/>
        <w:jc w:val="both"/>
        <w:textAlignment w:val="baseline"/>
      </w:pPr>
      <w:r>
        <w:t xml:space="preserve">Caberá à </w:t>
      </w:r>
      <w:r>
        <w:rPr>
          <w:color w:val="000000"/>
        </w:rPr>
        <w:t>Câmara Municipal de Primavera do Leste - MT</w:t>
      </w:r>
      <w:r>
        <w:t xml:space="preserve"> o gerenciamento e controle da ARP no seu próprio interesse, como também a formalização, gestão e fiscalização de suas próprias contratações, observadas as atribuições e competências indicadas na Minuta da ARP (</w:t>
      </w:r>
      <w:r>
        <w:fldChar w:fldCharType="begin"/>
      </w:r>
      <w:r>
        <w:instrText xml:space="preserve"> HYPERLINK \l "_ANEXO_IV_-" \h </w:instrText>
      </w:r>
      <w:r>
        <w:fldChar w:fldCharType="separate"/>
      </w:r>
      <w:r>
        <w:rPr>
          <w:rStyle w:val="54"/>
        </w:rPr>
        <w:t>Anexo IV</w:t>
      </w:r>
      <w:r>
        <w:rPr>
          <w:rStyle w:val="54"/>
        </w:rPr>
        <w:fldChar w:fldCharType="end"/>
      </w:r>
      <w:r>
        <w:t>).</w:t>
      </w:r>
    </w:p>
    <w:p>
      <w:pPr>
        <w:pStyle w:val="3"/>
        <w:numPr>
          <w:ilvl w:val="1"/>
          <w:numId w:val="1"/>
        </w:numPr>
        <w:tabs>
          <w:tab w:val="left" w:pos="1134"/>
        </w:tabs>
        <w:spacing w:before="0" w:beforeAutospacing="0" w:after="0" w:afterAutospacing="0"/>
        <w:ind w:left="0" w:firstLine="567"/>
        <w:jc w:val="both"/>
        <w:textAlignment w:val="baseline"/>
      </w:pPr>
      <w:r>
        <w:t xml:space="preserve">O Particular, titular do Registro de Preços, obriga-se a cumprir integralmente as obrigações contidas na ARP, salvo quando houver cancelamento ou rescisão do registro, submetendo-se às sanções administrativas previstas no item </w:t>
      </w:r>
      <w:r>
        <w:fldChar w:fldCharType="begin"/>
      </w:r>
      <w:r>
        <w:instrText xml:space="preserve"> HYPERLINK \l "_SANÇÕES_ADMINISTRATIVAS" \h </w:instrText>
      </w:r>
      <w:r>
        <w:fldChar w:fldCharType="separate"/>
      </w:r>
      <w:r>
        <w:rPr>
          <w:rStyle w:val="54"/>
        </w:rPr>
        <w:t>“38 - SANÇÕES ADMINISTRATIVAS”</w:t>
      </w:r>
      <w:r>
        <w:rPr>
          <w:rStyle w:val="54"/>
        </w:rPr>
        <w:fldChar w:fldCharType="end"/>
      </w:r>
      <w:r>
        <w:t xml:space="preserve"> em caso de inadimplência, observado o devido processo legal.</w:t>
      </w:r>
    </w:p>
    <w:p>
      <w:pPr>
        <w:pStyle w:val="2"/>
        <w:spacing w:before="360" w:after="0"/>
      </w:pPr>
      <w:bookmarkStart w:id="42" w:name="_Toc149517459"/>
      <w:bookmarkStart w:id="43" w:name="_Toc144196065"/>
      <w:r>
        <w:rPr>
          <w:rStyle w:val="45"/>
        </w:rPr>
        <w:t>FORMAÇÃO DO CADASTRO DE RESERVA</w:t>
      </w:r>
      <w:bookmarkEnd w:id="42"/>
      <w:bookmarkEnd w:id="43"/>
    </w:p>
    <w:p>
      <w:pPr>
        <w:pStyle w:val="3"/>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t>Após a homologação da licitação, será incluído na ata, na forma de anexo, o registro:</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t xml:space="preserve">dos licitantes </w:t>
      </w:r>
      <w:bookmarkStart w:id="44" w:name="_Hlk132991372"/>
      <w:r>
        <w:t xml:space="preserve">que </w:t>
      </w:r>
      <w:bookmarkStart w:id="45" w:name="_Hlk132989696"/>
      <w:r>
        <w:t>aceitarem cotar o objeto com preço igual ao do adjudicatári</w:t>
      </w:r>
      <w:bookmarkEnd w:id="44"/>
      <w:r>
        <w:t>o</w:t>
      </w:r>
      <w:bookmarkEnd w:id="45"/>
      <w:r>
        <w:t xml:space="preserve">, observada a classificação na licitação; e </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t>dos licitantes que mantiverem sua proposta original</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t>Será respeitada, nas contratações, a ordem de classificação dos licitantes ou fornecedores registrados na ata.</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t>A apresentação de novas propostas na forma deste item não prejudicará o resultado do certame em relação ao licitante mais bem classificado.</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t>Para fins da ordem de classificação, os licitantes ou fornecedores que aceitarem cotar o objeto com preço igual ao do adjudicatário antecederão aqueles que mantiverem sua proposta original.</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t xml:space="preserve"> A habilitação dos licitantes que comporão o cadastro de reserva será efetuada quando houver necessidade de contratação dos licitantes remanescentes, nas seguintes hipóteses:</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t>quando o licitante vencedor não assinar a ata de registro de preços no prazo e nas condições estabelecidos no edital; ou</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t>quando houver o cancelamento do registro do fornecedor ou do registro de preços.</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t>convocar os licitantes que mantiveram sua proposta original para negociação, na ordem de classificação, com vistas à obtenção de preço melhor, mesmo que acima do preço do adjudicatário; ou</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t>adjudicar e firmar o contrato nas condições ofertadas pelos licitantes remanescentes, observada a ordem de classificação, quando frustrada a negociação de melhor condição.</w:t>
      </w:r>
    </w:p>
    <w:p>
      <w:pPr>
        <w:pStyle w:val="2"/>
        <w:spacing w:before="360" w:after="0"/>
      </w:pPr>
      <w:bookmarkStart w:id="46" w:name="_Toc149517460"/>
      <w:r>
        <w:rPr>
          <w:rStyle w:val="45"/>
        </w:rPr>
        <w:t>CONTRATAÇÃO</w:t>
      </w:r>
      <w:bookmarkEnd w:id="46"/>
      <w:r>
        <w:rPr>
          <w:rStyle w:val="45"/>
        </w:rPr>
        <w:t> </w:t>
      </w:r>
    </w:p>
    <w:p>
      <w:pPr>
        <w:pStyle w:val="3"/>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rPr>
          <w:color w:val="000000"/>
        </w:rPr>
        <w:t>Previamente à contratação serão consultados os documentos de habilitação da empresa beneficiária da ARP, que deverão ser mantidas pelo licitante durante</w:t>
      </w:r>
      <w:r>
        <w:rPr>
          <w:color w:val="000000"/>
        </w:rPr>
        <w:br w:type="textWrapping"/>
      </w:r>
      <w:r>
        <w:rPr>
          <w:color w:val="000000"/>
        </w:rPr>
        <w:t>a vigência do contrato ou da ata de registro de preços, assim como serão verificadas as ocorrências impeditivas indiretas.</w:t>
      </w:r>
    </w:p>
    <w:p>
      <w:pPr>
        <w:pStyle w:val="3"/>
        <w:numPr>
          <w:ilvl w:val="1"/>
          <w:numId w:val="1"/>
        </w:numPr>
        <w:tabs>
          <w:tab w:val="left" w:pos="1134"/>
        </w:tabs>
        <w:spacing w:before="0" w:beforeAutospacing="0" w:after="0" w:afterAutospacing="0"/>
        <w:ind w:left="0" w:firstLine="567"/>
        <w:jc w:val="both"/>
        <w:textAlignment w:val="baseline"/>
      </w:pPr>
      <w:r>
        <w:rPr>
          <w:color w:val="000000"/>
        </w:rPr>
        <w:t>Na hipótese de irregularidades na habilitação, a empresa beneficiária da ARP deverá regularizar a sua situação no prazo de até 05 (cinco) dias úteis, sob</w:t>
      </w:r>
      <w:r>
        <w:rPr>
          <w:color w:val="000000"/>
        </w:rPr>
        <w:br w:type="textWrapping"/>
      </w:r>
      <w:r>
        <w:rPr>
          <w:color w:val="000000"/>
        </w:rPr>
        <w:t xml:space="preserve">pena de aplicação das penalidades previstas na cláusula </w:t>
      </w:r>
      <w:r>
        <w:fldChar w:fldCharType="begin"/>
      </w:r>
      <w:r>
        <w:instrText xml:space="preserve"> HYPERLINK \l "_SANÇÕES_ADMINISTRATIVAS" \h </w:instrText>
      </w:r>
      <w:r>
        <w:fldChar w:fldCharType="separate"/>
      </w:r>
      <w:r>
        <w:rPr>
          <w:rStyle w:val="54"/>
        </w:rPr>
        <w:t>“41 - SANÇÕES ADMINISTRATIVAS”</w:t>
      </w:r>
      <w:r>
        <w:rPr>
          <w:rStyle w:val="54"/>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hd w:val="clear" w:fill="auto"/>
        </w:rPr>
        <w:t xml:space="preserve">Como </w:t>
      </w:r>
      <w:r>
        <w:rPr>
          <w:shd w:val="clear" w:fill="auto"/>
        </w:rPr>
        <w:t>condição</w:t>
      </w:r>
      <w:r>
        <w:rPr>
          <w:color w:val="000000"/>
          <w:shd w:val="clear" w:fill="auto"/>
        </w:rPr>
        <w:t xml:space="preserve"> para a efetivação da contratação, a licitante adjudicatária deverá apresentar, no prazo de 2 (dois) dias úteis contados a partir da convocação, o seguinte documento, se for o caso, de declaração de que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VII da referida IN.</w:t>
      </w:r>
    </w:p>
    <w:p>
      <w:pPr>
        <w:pStyle w:val="3"/>
        <w:numPr>
          <w:ilvl w:val="1"/>
          <w:numId w:val="1"/>
        </w:numPr>
        <w:tabs>
          <w:tab w:val="left" w:pos="1134"/>
        </w:tabs>
        <w:spacing w:before="0" w:beforeAutospacing="0" w:after="0" w:afterAutospacing="0"/>
        <w:ind w:left="0" w:firstLine="567"/>
        <w:jc w:val="both"/>
        <w:textAlignment w:val="baseline"/>
      </w:pPr>
      <w:r>
        <w:t xml:space="preserve">Nos termos do </w:t>
      </w:r>
      <w:r>
        <w:fldChar w:fldCharType="begin"/>
      </w:r>
      <w:r>
        <w:rPr>
          <w:rStyle w:val="54"/>
        </w:rPr>
        <w:instrText xml:space="preserve"> HYPERLINK "https://www.planalto.gov.br/ccivil_03/_ato2019-2022/2021/lei/l14133.htm" \l "art95"</w:instrText>
      </w:r>
      <w:r>
        <w:rPr>
          <w:rStyle w:val="54"/>
        </w:rPr>
        <w:fldChar w:fldCharType="separate"/>
      </w:r>
      <w:r>
        <w:rPr>
          <w:rStyle w:val="54"/>
        </w:rPr>
        <w:t>art. 95, da Lei Federal nº 14.133, de 2021</w:t>
      </w:r>
      <w:r>
        <w:rPr>
          <w:rStyle w:val="54"/>
        </w:rPr>
        <w:fldChar w:fldCharType="end"/>
      </w:r>
      <w:r>
        <w:t xml:space="preserve">, o Instrumento de Contrato a ser assinado será conforme minuta constante no </w:t>
      </w:r>
      <w:r>
        <w:fldChar w:fldCharType="begin"/>
      </w:r>
      <w:r>
        <w:instrText xml:space="preserve"> HYPERLINK \l "_ANEXO_VII_-" \h </w:instrText>
      </w:r>
      <w:r>
        <w:fldChar w:fldCharType="separate"/>
      </w:r>
      <w:r>
        <w:rPr>
          <w:rStyle w:val="54"/>
        </w:rPr>
        <w:t>Anexo VII</w:t>
      </w:r>
      <w:r>
        <w:rPr>
          <w:rStyle w:val="54"/>
        </w:rPr>
        <w:fldChar w:fldCharType="end"/>
      </w:r>
      <w:r>
        <w:t>.</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Em caso de utilização da Ata de Registro de Preços, a Câmara Municipal de Primavera do Leste - MT enviará, por meio do correio eletrônico indicado na proposta, cópia do Instrumento de Contrato à futura contratada, devendo esta ser devolvida assinada digitalmente, sem qualquer modificação, em até 5 (cinco) dias úteis, sob pena de caracterização da conduta tipificada no </w:t>
      </w:r>
      <w:r>
        <w:fldChar w:fldCharType="begin"/>
      </w:r>
      <w:r>
        <w:rPr>
          <w:rStyle w:val="54"/>
        </w:rPr>
        <w:instrText xml:space="preserve"> HYPERLINK "https://www.planalto.gov.br/ccivil_03/_ato2019-2022/2021/lei/l14133.htm" \l "art155"</w:instrText>
      </w:r>
      <w:r>
        <w:rPr>
          <w:rStyle w:val="54"/>
        </w:rPr>
        <w:fldChar w:fldCharType="separate"/>
      </w:r>
      <w:r>
        <w:rPr>
          <w:rStyle w:val="54"/>
        </w:rPr>
        <w:t>art. 155, VI e/ou IX, da Lei Federal nº 14.133, de 2021</w:t>
      </w:r>
      <w:r>
        <w:rPr>
          <w:rStyle w:val="54"/>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A Câmara Municipal de Primavera do Leste - MT enviará, por meio do correio eletrônico indicado na proposta, cópia da Ata de Registro de Preços e, em caso de utilização da ARP, o Instrumento de Contrato, devendo o mesmo dar o aceite em até 5 (cinco) dias úteis, sob pena de caracterização da conduta tipificada no </w:t>
      </w:r>
      <w:r>
        <w:fldChar w:fldCharType="begin"/>
      </w:r>
      <w:r>
        <w:rPr>
          <w:rStyle w:val="54"/>
        </w:rPr>
        <w:instrText xml:space="preserve"> HYPERLINK "https://www.planalto.gov.br/ccivil_03/_ato2019-2022/2021/lei/l14133.htm" \l "art155"</w:instrText>
      </w:r>
      <w:r>
        <w:rPr>
          <w:rStyle w:val="54"/>
        </w:rPr>
        <w:fldChar w:fldCharType="separate"/>
      </w:r>
      <w:r>
        <w:rPr>
          <w:rStyle w:val="54"/>
        </w:rPr>
        <w:t>art. 155, VI, da Lei Federal nº 14.133, de 2021</w:t>
      </w:r>
      <w:r>
        <w:rPr>
          <w:rStyle w:val="54"/>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Na hipótese de a licitante vencedora não assinar a Ata de Registro de Preços ou o o Instrumento de Contrato no prazo estabelecido, a Administração </w:t>
      </w:r>
      <w:r>
        <w:t>poderá</w:t>
      </w:r>
      <w:r>
        <w:rPr>
          <w:color w:val="000000"/>
        </w:rPr>
        <w:t xml:space="preserve"> convocar as licitantes remanescentes, na ordem de classificação para a celebração da contratação, nas mesmas condições propostas pela licitante vencedora, sem prejuízo da aplicação das sanções neste Edital, na </w:t>
      </w:r>
      <w:r>
        <w:fldChar w:fldCharType="begin"/>
      </w:r>
      <w:r>
        <w:instrText xml:space="preserve"> HYPERLINK "https://www.planalto.gov.br/ccivil_03/_ato2019-2022/2021/lei/l14133.htm" \h </w:instrText>
      </w:r>
      <w:r>
        <w:fldChar w:fldCharType="separate"/>
      </w:r>
      <w:r>
        <w:rPr>
          <w:rStyle w:val="54"/>
        </w:rPr>
        <w:t>Lei Federal nº 14.133, de 2021</w:t>
      </w:r>
      <w:r>
        <w:rPr>
          <w:rStyle w:val="54"/>
        </w:rPr>
        <w:fldChar w:fldCharType="end"/>
      </w:r>
      <w:r>
        <w:rPr>
          <w:color w:val="000000"/>
        </w:rPr>
        <w:t xml:space="preserve"> e em outras legislações aplicáveis (</w:t>
      </w:r>
      <w:r>
        <w:fldChar w:fldCharType="begin"/>
      </w:r>
      <w:r>
        <w:rPr>
          <w:rStyle w:val="54"/>
        </w:rPr>
        <w:instrText xml:space="preserve"> HYPERLINK "https://www.planalto.gov.br/ccivil_03/_ato2019-2022/2021/lei/l14133.htm" \l "art90"</w:instrText>
      </w:r>
      <w:r>
        <w:rPr>
          <w:rStyle w:val="54"/>
        </w:rPr>
        <w:fldChar w:fldCharType="separate"/>
      </w:r>
      <w:r>
        <w:rPr>
          <w:rStyle w:val="54"/>
        </w:rPr>
        <w:t>art. 90, § 2º, da Lei Federal nº 14.133, de 2021</w:t>
      </w:r>
      <w:r>
        <w:rPr>
          <w:rStyle w:val="54"/>
        </w:rPr>
        <w:fldChar w:fldCharType="end"/>
      </w:r>
      <w:r>
        <w:rPr>
          <w:color w:val="000000"/>
        </w:rPr>
        <w:t>).</w:t>
      </w:r>
    </w:p>
    <w:p>
      <w:pPr>
        <w:pStyle w:val="3"/>
        <w:numPr>
          <w:ilvl w:val="1"/>
          <w:numId w:val="1"/>
        </w:numPr>
        <w:tabs>
          <w:tab w:val="left" w:pos="1134"/>
        </w:tabs>
        <w:spacing w:before="0" w:beforeAutospacing="0" w:after="120" w:afterAutospacing="0"/>
        <w:ind w:left="0" w:firstLine="567"/>
        <w:jc w:val="both"/>
        <w:textAlignment w:val="baseline"/>
      </w:pPr>
      <w:r>
        <w:rPr>
          <w:color w:val="000000"/>
        </w:rPr>
        <w:t xml:space="preserve">Caso nenhuma licitante aceite a contratação nos termos do item anterior, a Administração, </w:t>
      </w:r>
      <w:r>
        <w:t>observados</w:t>
      </w:r>
      <w:r>
        <w:rPr>
          <w:color w:val="000000"/>
        </w:rPr>
        <w:t xml:space="preserve"> o valor estimado e sua eventual atualização, se for o caso, poderá (</w:t>
      </w:r>
      <w:r>
        <w:fldChar w:fldCharType="begin"/>
      </w:r>
      <w:r>
        <w:rPr>
          <w:rStyle w:val="54"/>
        </w:rPr>
        <w:instrText xml:space="preserve"> HYPERLINK "https://www.planalto.gov.br/ccivil_03/_ato2019-2022/2021/lei/l14133.htm" \l "art90"</w:instrText>
      </w:r>
      <w:r>
        <w:rPr>
          <w:rStyle w:val="54"/>
        </w:rPr>
        <w:fldChar w:fldCharType="separate"/>
      </w:r>
      <w:r>
        <w:rPr>
          <w:rStyle w:val="54"/>
        </w:rPr>
        <w:t>art. 90, § 4º, da Lei Federal nº 14.133, de 2021</w:t>
      </w:r>
      <w:r>
        <w:rPr>
          <w:rStyle w:val="54"/>
        </w:rPr>
        <w:fldChar w:fldCharType="end"/>
      </w:r>
      <w:r>
        <w:rPr>
          <w:color w:val="000000"/>
        </w:rPr>
        <w:t>):</w:t>
      </w:r>
    </w:p>
    <w:p>
      <w:pPr>
        <w:pStyle w:val="3"/>
        <w:numPr>
          <w:ilvl w:val="2"/>
          <w:numId w:val="10"/>
        </w:numPr>
        <w:tabs>
          <w:tab w:val="left" w:pos="1134"/>
        </w:tabs>
        <w:spacing w:before="120" w:beforeAutospacing="0" w:after="0" w:afterAutospacing="0"/>
        <w:jc w:val="both"/>
        <w:textAlignment w:val="baseline"/>
        <w:rPr>
          <w:rFonts w:ascii="Times New Roman" w:hAnsi="Times New Roman"/>
        </w:rPr>
      </w:pPr>
      <w:r>
        <w:rPr>
          <w:color w:val="000000"/>
        </w:rPr>
        <w:t>convocar as licitantes remanescentes, na ordem de classificação, para negociação, com vista à obtenção de melhor preço, mesmo que acima do ofertado pela adjudicatária;</w:t>
      </w:r>
    </w:p>
    <w:p>
      <w:pPr>
        <w:pStyle w:val="3"/>
        <w:numPr>
          <w:ilvl w:val="2"/>
          <w:numId w:val="10"/>
        </w:numPr>
        <w:tabs>
          <w:tab w:val="left" w:pos="1134"/>
        </w:tabs>
        <w:spacing w:before="0" w:beforeAutospacing="0" w:after="120" w:afterAutospacing="0"/>
        <w:jc w:val="both"/>
        <w:textAlignment w:val="baseline"/>
        <w:rPr>
          <w:rFonts w:ascii="Times New Roman" w:hAnsi="Times New Roman"/>
        </w:rPr>
      </w:pPr>
      <w:r>
        <w:rPr>
          <w:color w:val="000000"/>
        </w:rPr>
        <w:t>adjudicar e celebrar a contratação nas condições ofertadas pelas licitantes remanescentes, na ordem de classificação, quando frustrada a negociação de melhor condição.</w:t>
      </w:r>
    </w:p>
    <w:p>
      <w:pPr>
        <w:pStyle w:val="3"/>
        <w:numPr>
          <w:ilvl w:val="1"/>
          <w:numId w:val="1"/>
        </w:numPr>
        <w:tabs>
          <w:tab w:val="left" w:pos="1134"/>
        </w:tabs>
        <w:spacing w:before="120" w:beforeAutospacing="0" w:after="0" w:afterAutospacing="0"/>
        <w:ind w:left="0" w:firstLine="567"/>
        <w:jc w:val="both"/>
        <w:textAlignment w:val="baseline"/>
      </w:pPr>
      <w:r>
        <w:rPr>
          <w:color w:val="000000"/>
        </w:rPr>
        <w:t xml:space="preserve">A </w:t>
      </w:r>
      <w:r>
        <w:t>recusa</w:t>
      </w:r>
      <w:r>
        <w:rPr>
          <w:color w:val="000000"/>
        </w:rPr>
        <w:t xml:space="preserve"> injustificada da adjudicatária em assinar a Ata de Registro de Preços no prazo estabelecido caracterizará o descumprimento total da obrigação assumida, sujeitando-se às penalidades previstas neste Edital e em lei (</w:t>
      </w:r>
      <w:r>
        <w:fldChar w:fldCharType="begin"/>
      </w:r>
      <w:r>
        <w:rPr>
          <w:rStyle w:val="54"/>
        </w:rPr>
        <w:instrText xml:space="preserve"> HYPERLINK "https://www.planalto.gov.br/ccivil_03/_ato2019-2022/2021/lei/l14133.htm" \l "art90"</w:instrText>
      </w:r>
      <w:r>
        <w:rPr>
          <w:rStyle w:val="54"/>
        </w:rPr>
        <w:fldChar w:fldCharType="separate"/>
      </w:r>
      <w:r>
        <w:rPr>
          <w:rStyle w:val="54"/>
        </w:rPr>
        <w:t>art. 90, §5º e 6º, da Lei Federal nº 14.133, de 2021</w:t>
      </w:r>
      <w:r>
        <w:rPr>
          <w:rStyle w:val="54"/>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pPr>
      <w:r>
        <w:t>Decorrido</w:t>
      </w:r>
      <w:r>
        <w:rPr>
          <w:color w:val="000000"/>
        </w:rPr>
        <w:t xml:space="preserve"> o prazo de validade da proposta sem convocação para a assinatura da ARP, ficarão as licitantes liberadas do compromisso assumido (</w:t>
      </w:r>
      <w:r>
        <w:fldChar w:fldCharType="begin"/>
      </w:r>
      <w:r>
        <w:rPr>
          <w:rStyle w:val="54"/>
        </w:rPr>
        <w:instrText xml:space="preserve"> HYPERLINK "https://www.planalto.gov.br/ccivil_03/_ato2019-2022/2021/lei/l14133.htm" \l "art90"</w:instrText>
      </w:r>
      <w:r>
        <w:rPr>
          <w:rStyle w:val="54"/>
        </w:rPr>
        <w:fldChar w:fldCharType="separate"/>
      </w:r>
      <w:r>
        <w:rPr>
          <w:rStyle w:val="54"/>
        </w:rPr>
        <w:t>art. 90, §3º, da Lei Federal nº 14.133, de 2021</w:t>
      </w:r>
      <w:r>
        <w:rPr>
          <w:rStyle w:val="54"/>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pPr>
      <w:r>
        <w:t>Será</w:t>
      </w:r>
      <w:r>
        <w:rPr>
          <w:color w:val="000000"/>
        </w:rPr>
        <w:t xml:space="preserve"> facultada à Administração a convocação das demais licitantes classificadas para a contratação de remanescente de fornecimento em consequência de rescisão contratual, observados os mesmos critérios definidos neste Edital (</w:t>
      </w:r>
      <w:r>
        <w:fldChar w:fldCharType="begin"/>
      </w:r>
      <w:r>
        <w:rPr>
          <w:rStyle w:val="54"/>
        </w:rPr>
        <w:instrText xml:space="preserve"> HYPERLINK "https://www.planalto.gov.br/ccivil_03/_ato2019-2022/2021/lei/l14133.htm" \l "art90"</w:instrText>
      </w:r>
      <w:r>
        <w:rPr>
          <w:rStyle w:val="54"/>
        </w:rPr>
        <w:fldChar w:fldCharType="separate"/>
      </w:r>
      <w:r>
        <w:rPr>
          <w:rStyle w:val="54"/>
        </w:rPr>
        <w:t>art. 90, §7º, da Lei Federal nº 14.133, de 2021</w:t>
      </w:r>
      <w:r>
        <w:rPr>
          <w:rStyle w:val="54"/>
        </w:rPr>
        <w:fldChar w:fldCharType="end"/>
      </w:r>
      <w:r>
        <w:rPr>
          <w:color w:val="000000"/>
        </w:rPr>
        <w:t>).</w:t>
      </w:r>
    </w:p>
    <w:p>
      <w:pPr>
        <w:pStyle w:val="2"/>
        <w:spacing w:before="360" w:after="0"/>
      </w:pPr>
      <w:bookmarkStart w:id="47" w:name="_SANÇÕES_ADMINISTRATIVAS"/>
      <w:bookmarkEnd w:id="47"/>
      <w:bookmarkStart w:id="48" w:name="_Toc149517461"/>
      <w:r>
        <w:rPr>
          <w:rStyle w:val="45"/>
        </w:rPr>
        <w:t>SANÇÕES ADMINISTRATIVAS DE LICITAÇÃO</w:t>
      </w:r>
      <w:bookmarkEnd w:id="48"/>
    </w:p>
    <w:p>
      <w:pPr>
        <w:pStyle w:val="3"/>
        <w:numPr>
          <w:ilvl w:val="1"/>
          <w:numId w:val="1"/>
        </w:numPr>
        <w:tabs>
          <w:tab w:val="left" w:pos="1134"/>
        </w:tabs>
        <w:spacing w:before="120" w:beforeAutospacing="0" w:after="0" w:afterAutospacing="0"/>
        <w:ind w:left="0" w:firstLine="567"/>
        <w:jc w:val="both"/>
        <w:textAlignment w:val="baseline"/>
      </w:pPr>
      <w:r>
        <w:rPr>
          <w:color w:val="000000"/>
        </w:rPr>
        <w:t xml:space="preserve">No </w:t>
      </w:r>
      <w:r>
        <w:rPr>
          <w:color w:val="000000" w:themeColor="text1"/>
        </w:rPr>
        <w:t>caso</w:t>
      </w:r>
      <w:r>
        <w:rPr>
          <w:color w:val="000000"/>
        </w:rPr>
        <w:t xml:space="preserve"> de a licitante ou a contratada incorrer em uma ou mais condutas tipificadas no </w:t>
      </w:r>
      <w:r>
        <w:fldChar w:fldCharType="begin"/>
      </w:r>
      <w:r>
        <w:rPr>
          <w:rStyle w:val="54"/>
        </w:rPr>
        <w:instrText xml:space="preserve"> HYPERLINK "https://www.planalto.gov.br/ccivil_03/_ato2019-2022/2021/lei/l14133.htm" \l "art155"</w:instrText>
      </w:r>
      <w:r>
        <w:rPr>
          <w:rStyle w:val="54"/>
        </w:rPr>
        <w:fldChar w:fldCharType="separate"/>
      </w:r>
      <w:r>
        <w:rPr>
          <w:rStyle w:val="54"/>
        </w:rPr>
        <w:t>art. 155 da Lei Federal nº 14.133, de 2021</w:t>
      </w:r>
      <w:r>
        <w:rPr>
          <w:rStyle w:val="54"/>
        </w:rPr>
        <w:fldChar w:fldCharType="end"/>
      </w:r>
      <w:r>
        <w:rPr>
          <w:color w:val="000000"/>
        </w:rPr>
        <w:t xml:space="preserve">, será responsabilizada administrativamente em uma ou mais das sanções previstas no </w:t>
      </w:r>
      <w:r>
        <w:fldChar w:fldCharType="begin"/>
      </w:r>
      <w:r>
        <w:rPr>
          <w:rStyle w:val="54"/>
        </w:rPr>
        <w:instrText xml:space="preserve"> HYPERLINK "https://www.planalto.gov.br/ccivil_03/_ato2019-2022/2021/lei/l14133.htm" \l "art156"</w:instrText>
      </w:r>
      <w:r>
        <w:rPr>
          <w:rStyle w:val="54"/>
        </w:rPr>
        <w:fldChar w:fldCharType="separate"/>
      </w:r>
      <w:r>
        <w:rPr>
          <w:rStyle w:val="54"/>
        </w:rPr>
        <w:t>art. 156, da Lei Federal nº 14.133, de 2021</w:t>
      </w:r>
      <w:r>
        <w:rPr>
          <w:rStyle w:val="54"/>
        </w:rPr>
        <w:fldChar w:fldCharType="end"/>
      </w:r>
      <w:r>
        <w:rPr>
          <w:color w:val="000000"/>
        </w:rPr>
        <w:t>, garantido o direito à ampla defesa e contraditório.</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A </w:t>
      </w:r>
      <w:r>
        <w:rPr>
          <w:color w:val="000000" w:themeColor="text1"/>
        </w:rPr>
        <w:t>recusa</w:t>
      </w:r>
      <w:r>
        <w:rPr>
          <w:color w:val="000000"/>
        </w:rPr>
        <w:t xml:space="preserve"> da licitante vencedora em formalizar a Ata de Registro de Preços respectiva no prazo estabelecido pela Administração será considerada como inexecução total da obrigação assumida, ensejando a aplicação das sanções previstas em lei e neste Edital.</w:t>
      </w:r>
    </w:p>
    <w:p>
      <w:pPr>
        <w:pStyle w:val="3"/>
        <w:numPr>
          <w:ilvl w:val="1"/>
          <w:numId w:val="1"/>
        </w:numPr>
        <w:tabs>
          <w:tab w:val="left" w:pos="1134"/>
        </w:tabs>
        <w:spacing w:before="0" w:beforeAutospacing="0" w:after="0" w:afterAutospacing="0"/>
        <w:ind w:left="0" w:firstLine="567"/>
        <w:jc w:val="both"/>
        <w:textAlignment w:val="baseline"/>
      </w:pPr>
      <w:r>
        <w:rPr>
          <w:color w:val="000000"/>
        </w:rPr>
        <w:t>Na aplicação das sanções serão considerados (</w:t>
      </w:r>
      <w:r>
        <w:fldChar w:fldCharType="begin"/>
      </w:r>
      <w:r>
        <w:rPr>
          <w:rStyle w:val="54"/>
        </w:rPr>
        <w:instrText xml:space="preserve"> HYPERLINK "https://www.planalto.gov.br/ccivil_03/_ato2019-2022/2021/lei/l14133.htm" \l "art156"</w:instrText>
      </w:r>
      <w:r>
        <w:rPr>
          <w:rStyle w:val="54"/>
        </w:rPr>
        <w:fldChar w:fldCharType="separate"/>
      </w:r>
      <w:r>
        <w:rPr>
          <w:rStyle w:val="54"/>
        </w:rPr>
        <w:t>art. 156, § 1º, da Lei Federal nº 14.133, de 2021</w:t>
      </w:r>
      <w:r>
        <w:rPr>
          <w:rStyle w:val="54"/>
        </w:rPr>
        <w:fldChar w:fldCharType="end"/>
      </w:r>
      <w:r>
        <w:rPr>
          <w:color w:val="000000"/>
        </w:rPr>
        <w:t>):</w:t>
      </w:r>
    </w:p>
    <w:p>
      <w:pPr>
        <w:pStyle w:val="3"/>
        <w:numPr>
          <w:ilvl w:val="2"/>
          <w:numId w:val="1"/>
        </w:numPr>
        <w:tabs>
          <w:tab w:val="left" w:pos="1134"/>
        </w:tabs>
        <w:spacing w:before="0" w:beforeAutospacing="0" w:after="0" w:afterAutospacing="0"/>
        <w:jc w:val="both"/>
        <w:textAlignment w:val="baseline"/>
        <w:rPr>
          <w:rFonts w:ascii="Times New Roman" w:hAnsi="Times New Roman"/>
        </w:rPr>
      </w:pPr>
      <w:bookmarkStart w:id="49" w:name="art156§1i"/>
      <w:bookmarkEnd w:id="49"/>
      <w:r>
        <w:rPr>
          <w:color w:val="000000"/>
        </w:rPr>
        <w:t>a natureza e a gravidade da infração cometida;</w:t>
      </w:r>
    </w:p>
    <w:p>
      <w:pPr>
        <w:pStyle w:val="3"/>
        <w:numPr>
          <w:ilvl w:val="2"/>
          <w:numId w:val="1"/>
        </w:numPr>
        <w:tabs>
          <w:tab w:val="left" w:pos="1134"/>
        </w:tabs>
        <w:spacing w:before="0" w:beforeAutospacing="0" w:after="0" w:afterAutospacing="0"/>
        <w:jc w:val="both"/>
        <w:textAlignment w:val="baseline"/>
        <w:rPr>
          <w:rFonts w:ascii="Times New Roman" w:hAnsi="Times New Roman"/>
        </w:rPr>
      </w:pPr>
      <w:bookmarkStart w:id="50" w:name="art156§1ii"/>
      <w:bookmarkEnd w:id="50"/>
      <w:r>
        <w:rPr>
          <w:color w:val="000000"/>
        </w:rPr>
        <w:t>as peculiaridades do caso concreto;</w:t>
      </w:r>
    </w:p>
    <w:p>
      <w:pPr>
        <w:pStyle w:val="3"/>
        <w:numPr>
          <w:ilvl w:val="2"/>
          <w:numId w:val="1"/>
        </w:numPr>
        <w:tabs>
          <w:tab w:val="left" w:pos="1134"/>
        </w:tabs>
        <w:spacing w:before="0" w:beforeAutospacing="0" w:after="0" w:afterAutospacing="0"/>
        <w:jc w:val="both"/>
        <w:textAlignment w:val="baseline"/>
        <w:rPr>
          <w:rFonts w:ascii="Times New Roman" w:hAnsi="Times New Roman"/>
        </w:rPr>
      </w:pPr>
      <w:bookmarkStart w:id="51" w:name="art156§1iii"/>
      <w:bookmarkEnd w:id="51"/>
      <w:r>
        <w:rPr>
          <w:color w:val="000000"/>
        </w:rPr>
        <w:t>as circunstâncias agravantes ou atenuantes;</w:t>
      </w:r>
    </w:p>
    <w:p>
      <w:pPr>
        <w:pStyle w:val="3"/>
        <w:numPr>
          <w:ilvl w:val="2"/>
          <w:numId w:val="1"/>
        </w:numPr>
        <w:tabs>
          <w:tab w:val="left" w:pos="1134"/>
        </w:tabs>
        <w:spacing w:before="0" w:beforeAutospacing="0" w:after="0" w:afterAutospacing="0"/>
        <w:jc w:val="both"/>
        <w:textAlignment w:val="baseline"/>
        <w:rPr>
          <w:rFonts w:ascii="Times New Roman" w:hAnsi="Times New Roman"/>
        </w:rPr>
      </w:pPr>
      <w:bookmarkStart w:id="52" w:name="art156§1iv"/>
      <w:bookmarkEnd w:id="52"/>
      <w:r>
        <w:rPr>
          <w:color w:val="000000"/>
        </w:rPr>
        <w:t>os danos que dela provierem para a Administração Pública;</w:t>
      </w:r>
    </w:p>
    <w:p>
      <w:pPr>
        <w:pStyle w:val="3"/>
        <w:numPr>
          <w:ilvl w:val="2"/>
          <w:numId w:val="1"/>
        </w:numPr>
        <w:tabs>
          <w:tab w:val="left" w:pos="1134"/>
        </w:tabs>
        <w:spacing w:before="0" w:beforeAutospacing="0" w:after="0" w:afterAutospacing="0"/>
        <w:jc w:val="both"/>
        <w:textAlignment w:val="baseline"/>
        <w:rPr>
          <w:rFonts w:ascii="Times New Roman" w:hAnsi="Times New Roman"/>
        </w:rPr>
      </w:pPr>
      <w:bookmarkStart w:id="53" w:name="art156§1v"/>
      <w:bookmarkEnd w:id="53"/>
      <w:r>
        <w:rPr>
          <w:color w:val="000000"/>
        </w:rPr>
        <w:t>a implantação ou o aperfeiçoamento de programa de integridade, conforme normas e orientações dos órgãos de controle.</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t>No caso de sanções de licitação, não será aplicada a penalidade de advertência; as sanções de impedimento de licitar e contratar e declaração de inidoneidade para licitar ou contratar poderão ser aplicadas, cumulativamente ou não, à penalidade de multa.</w:t>
      </w:r>
    </w:p>
    <w:p>
      <w:pPr>
        <w:pStyle w:val="3"/>
        <w:numPr>
          <w:ilvl w:val="1"/>
          <w:numId w:val="1"/>
        </w:numPr>
        <w:tabs>
          <w:tab w:val="left" w:pos="1134"/>
        </w:tabs>
        <w:spacing w:before="0" w:beforeAutospacing="0" w:after="0" w:afterAutospacing="0"/>
        <w:ind w:left="0" w:firstLine="567"/>
        <w:jc w:val="both"/>
        <w:textAlignment w:val="baseline"/>
      </w:pPr>
      <w:r>
        <w:t xml:space="preserve">O processamento das penalidades seguirá os ditames da </w:t>
      </w:r>
      <w:r>
        <w:fldChar w:fldCharType="begin"/>
      </w:r>
      <w:r>
        <w:instrText xml:space="preserve"> HYPERLINK "https://www.planalto.gov.br/ccivil_03/_ato2019-2022/2021/lei/l14133.htm" \h </w:instrText>
      </w:r>
      <w:r>
        <w:fldChar w:fldCharType="separate"/>
      </w:r>
      <w:r>
        <w:rPr>
          <w:rStyle w:val="54"/>
        </w:rPr>
        <w:t>Lei Federal nº 14.133, de 2021</w:t>
      </w:r>
      <w:r>
        <w:rPr>
          <w:rStyle w:val="54"/>
        </w:rPr>
        <w:fldChar w:fldCharType="end"/>
      </w:r>
      <w:r>
        <w:t>.</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As sanções serão registradas e publicadas no Cadastro Nacional de Empresas Inidôneas e </w:t>
      </w:r>
      <w:r>
        <w:rPr>
          <w:color w:val="000000" w:themeColor="text1"/>
        </w:rPr>
        <w:t>Suspensas</w:t>
      </w:r>
      <w:r>
        <w:rPr>
          <w:color w:val="000000"/>
        </w:rPr>
        <w:t xml:space="preserve"> (Ceis) e no Cadastro Nacional de Empresas Punidas (Cnep), no prazo máximo de 15 (quinze) dias úteis, contado do trânsito em julgado da aplicação da sanção, nos termos do </w:t>
      </w:r>
      <w:r>
        <w:fldChar w:fldCharType="begin"/>
      </w:r>
      <w:r>
        <w:rPr>
          <w:rStyle w:val="54"/>
        </w:rPr>
        <w:instrText xml:space="preserve"> HYPERLINK "https://www.planalto.gov.br/ccivil_03/_ato2019-2022/2021/lei/l14133.htm" \l "art161"</w:instrText>
      </w:r>
      <w:r>
        <w:rPr>
          <w:rStyle w:val="54"/>
        </w:rPr>
        <w:fldChar w:fldCharType="separate"/>
      </w:r>
      <w:r>
        <w:rPr>
          <w:rStyle w:val="54"/>
        </w:rPr>
        <w:t>art. 161 da Lei Federal nº 14.133, de 2021</w:t>
      </w:r>
      <w:r>
        <w:rPr>
          <w:rStyle w:val="54"/>
        </w:rPr>
        <w:fldChar w:fldCharType="end"/>
      </w:r>
      <w:r>
        <w:rPr>
          <w:color w:val="000000"/>
        </w:rPr>
        <w:t>.</w:t>
      </w:r>
    </w:p>
    <w:p>
      <w:pPr>
        <w:pStyle w:val="2"/>
        <w:spacing w:before="360" w:after="0"/>
      </w:pPr>
      <w:bookmarkStart w:id="54" w:name="_Toc149517462"/>
      <w:r>
        <w:rPr>
          <w:rStyle w:val="45"/>
        </w:rPr>
        <w:t>PROTEÇÃO DOS DADOS NA LICITAÇÃO</w:t>
      </w:r>
      <w:bookmarkEnd w:id="54"/>
    </w:p>
    <w:p>
      <w:pPr>
        <w:pStyle w:val="3"/>
        <w:numPr>
          <w:ilvl w:val="1"/>
          <w:numId w:val="1"/>
        </w:numPr>
        <w:tabs>
          <w:tab w:val="left" w:pos="1134"/>
        </w:tabs>
        <w:spacing w:before="120" w:beforeAutospacing="0" w:after="0" w:afterAutospacing="0"/>
        <w:ind w:left="0" w:firstLine="567"/>
        <w:jc w:val="both"/>
        <w:textAlignment w:val="baseline"/>
      </w:pPr>
      <w:r>
        <w:rPr>
          <w:rStyle w:val="45"/>
          <w:color w:val="000000" w:themeColor="text1"/>
        </w:rPr>
        <w:t xml:space="preserve">Ao participar da presente licitação, e em atenção ao que dispõe o </w:t>
      </w:r>
      <w:r>
        <w:fldChar w:fldCharType="begin"/>
      </w:r>
      <w:r>
        <w:rPr>
          <w:rStyle w:val="54"/>
        </w:rPr>
        <w:instrText xml:space="preserve"> HYPERLINK "https://www.planalto.gov.br/ccivil_03/_ato2015-2018/2018/lei/l13709.htm" \l "art7"</w:instrText>
      </w:r>
      <w:r>
        <w:rPr>
          <w:rStyle w:val="54"/>
        </w:rPr>
        <w:fldChar w:fldCharType="separate"/>
      </w:r>
      <w:r>
        <w:rPr>
          <w:rStyle w:val="54"/>
        </w:rPr>
        <w:t>art. 7º, I, da Lei Federal nº 13.709, de 2018</w:t>
      </w:r>
      <w:r>
        <w:rPr>
          <w:rStyle w:val="54"/>
        </w:rPr>
        <w:fldChar w:fldCharType="end"/>
      </w:r>
      <w:r>
        <w:rPr>
          <w:rStyle w:val="45"/>
          <w:color w:val="000000" w:themeColor="text1"/>
        </w:rPr>
        <w:t xml:space="preserve"> (Lei Geral de Proteção de Dados - LGPD), as licitantes ficam cientes e fornecem consentimento para que a </w:t>
      </w:r>
      <w:r>
        <w:rPr>
          <w:color w:val="000000"/>
        </w:rPr>
        <w:t>Câmara Municipal de Primavera do Leste - MT</w:t>
      </w:r>
      <w:r>
        <w:rPr>
          <w:rStyle w:val="45"/>
          <w:color w:val="000000" w:themeColor="text1"/>
        </w:rPr>
        <w:t xml:space="preserve">, com base no previsto no </w:t>
      </w:r>
      <w:r>
        <w:fldChar w:fldCharType="begin"/>
      </w:r>
      <w:r>
        <w:rPr>
          <w:rStyle w:val="54"/>
        </w:rPr>
        <w:instrText xml:space="preserve"> HYPERLINK "https://www.planalto.gov.br/ccivil_03/_ato2015-2018/2018/lei/l13709.htm" \l "art7"</w:instrText>
      </w:r>
      <w:r>
        <w:rPr>
          <w:rStyle w:val="54"/>
        </w:rPr>
        <w:fldChar w:fldCharType="separate"/>
      </w:r>
      <w:r>
        <w:rPr>
          <w:rStyle w:val="54"/>
        </w:rPr>
        <w:t>art. 7º, II e III</w:t>
      </w:r>
      <w:r>
        <w:rPr>
          <w:rStyle w:val="54"/>
        </w:rPr>
        <w:fldChar w:fldCharType="end"/>
      </w:r>
      <w:r>
        <w:rPr>
          <w:rStyle w:val="45"/>
          <w:color w:val="000000" w:themeColor="text1"/>
        </w:rPr>
        <w:t xml:space="preserve">, c/c o </w:t>
      </w:r>
      <w:r>
        <w:fldChar w:fldCharType="begin"/>
      </w:r>
      <w:r>
        <w:rPr>
          <w:rStyle w:val="54"/>
        </w:rPr>
        <w:instrText xml:space="preserve"> HYPERLINK "https://www.planalto.gov.br/ccivil_03/_ato2015-2018/2018/lei/l13709.htm" \l "art23"</w:instrText>
      </w:r>
      <w:r>
        <w:rPr>
          <w:rStyle w:val="54"/>
        </w:rPr>
        <w:fldChar w:fldCharType="separate"/>
      </w:r>
      <w:r>
        <w:rPr>
          <w:rStyle w:val="54"/>
        </w:rPr>
        <w:t>art. 23 Lei Federal nº 13.709, de 2018</w:t>
      </w:r>
      <w:r>
        <w:rPr>
          <w:rStyle w:val="54"/>
        </w:rPr>
        <w:fldChar w:fldCharType="end"/>
      </w:r>
      <w:r>
        <w:rPr>
          <w:rStyle w:val="45"/>
          <w:color w:val="000000" w:themeColor="text1"/>
        </w:rPr>
        <w:t xml:space="preserve">, irá realizar o </w:t>
      </w:r>
      <w:r>
        <w:t>tratamento</w:t>
      </w:r>
      <w:r>
        <w:rPr>
          <w:rStyle w:val="45"/>
          <w:color w:val="000000" w:themeColor="text1"/>
        </w:rPr>
        <w:t xml:space="preserve"> de dados pessoais necessários aos procedimentos preliminares e às contratações públicas, inclusive de alguns de seus sócios, bem como compartilhá-los com órgãos de controle, observados os princípios previstos no </w:t>
      </w:r>
      <w:r>
        <w:fldChar w:fldCharType="begin"/>
      </w:r>
      <w:r>
        <w:rPr>
          <w:rStyle w:val="54"/>
        </w:rPr>
        <w:instrText xml:space="preserve"> HYPERLINK "https://www.planalto.gov.br/ccivil_03/_ato2015-2018/2018/lei/l13709.htm" \l "art6"</w:instrText>
      </w:r>
      <w:r>
        <w:rPr>
          <w:rStyle w:val="54"/>
        </w:rPr>
        <w:fldChar w:fldCharType="separate"/>
      </w:r>
      <w:r>
        <w:rPr>
          <w:rStyle w:val="54"/>
        </w:rPr>
        <w:t>art. 6º da Lei Federal nº 13.709, de 2018</w:t>
      </w:r>
      <w:r>
        <w:rPr>
          <w:rStyle w:val="54"/>
        </w:rPr>
        <w:fldChar w:fldCharType="end"/>
      </w:r>
      <w:r>
        <w:rPr>
          <w:rStyle w:val="45"/>
          <w:color w:val="000000" w:themeColor="text1"/>
        </w:rPr>
        <w:t xml:space="preserve">, em especial os princípios da finalidade, da adequação, da necessidade, da segurança e da prevenção. Estão cientes ainda de que é permitido manter e utilizar tais dados pessoais mesmo após a extinção do contrato, para fins de fiscalização e controle dos contratos administrativos, nos termos do </w:t>
      </w:r>
      <w:r>
        <w:fldChar w:fldCharType="begin"/>
      </w:r>
      <w:r>
        <w:rPr>
          <w:rStyle w:val="54"/>
        </w:rPr>
        <w:instrText xml:space="preserve"> HYPERLINK "https://www.planalto.gov.br/ccivil_03/_ato2015-2018/2018/lei/l13709.htm" \l "art16"</w:instrText>
      </w:r>
      <w:r>
        <w:rPr>
          <w:rStyle w:val="54"/>
        </w:rPr>
        <w:fldChar w:fldCharType="separate"/>
      </w:r>
      <w:r>
        <w:rPr>
          <w:rStyle w:val="54"/>
        </w:rPr>
        <w:t>art. 16, inciso I da Lei Federal nº 13.709, de 2018</w:t>
      </w:r>
      <w:r>
        <w:rPr>
          <w:rStyle w:val="54"/>
        </w:rPr>
        <w:fldChar w:fldCharType="end"/>
      </w:r>
      <w:r>
        <w:rPr>
          <w:rStyle w:val="45"/>
          <w:color w:val="000000" w:themeColor="text1"/>
        </w:rPr>
        <w:t xml:space="preserve">. </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themeColor="text1"/>
        </w:rPr>
        <w:t xml:space="preserve">A(s) licitante(s) </w:t>
      </w:r>
      <w:r>
        <w:t xml:space="preserve">e a </w:t>
      </w:r>
      <w:r>
        <w:rPr>
          <w:color w:val="000000"/>
        </w:rPr>
        <w:t>Câmara Municipal de Primavera do Leste - MT</w:t>
      </w:r>
      <w:r>
        <w:t xml:space="preserve"> </w:t>
      </w:r>
      <w:r>
        <w:rPr>
          <w:rStyle w:val="45"/>
          <w:color w:val="000000" w:themeColor="text1"/>
        </w:rPr>
        <w:t xml:space="preserve">obrigam-se a cumprir o disposto na </w:t>
      </w:r>
      <w:r>
        <w:fldChar w:fldCharType="begin"/>
      </w:r>
      <w:r>
        <w:instrText xml:space="preserve"> HYPERLINK "https://www.planalto.gov.br/ccivil_03/_ato2015-2018/2018/lei/l13709.htm" \h </w:instrText>
      </w:r>
      <w:r>
        <w:fldChar w:fldCharType="separate"/>
      </w:r>
      <w:r>
        <w:rPr>
          <w:rStyle w:val="54"/>
        </w:rPr>
        <w:t>Lei Federal nº 13.709, de 2018</w:t>
      </w:r>
      <w:r>
        <w:rPr>
          <w:rStyle w:val="54"/>
        </w:rPr>
        <w:fldChar w:fldCharType="end"/>
      </w:r>
      <w:r>
        <w:rPr>
          <w:rStyle w:val="45"/>
          <w:color w:val="000000" w:themeColor="text1"/>
        </w:rPr>
        <w:t xml:space="preserve"> em relação aos dados pessoais a que vierem ter acesso em decorrência da execução contratual, comprometendo-se a manter sigilo e confidencialidade de todas as informações, em especial os dados pessoais e os dados pessoais sensíveis, repassadas em decorrência da execução contratual, sendo vedada a transferência, a transmissão, a comunicação ou qualquer outra forma de repasse das informações a terceiros, salvo as decorrentes de obrigações legais ou para viabilizar o cumprimento do contrato.</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themeColor="text1"/>
        </w:rPr>
        <w:t xml:space="preserve">As partes ficam obrigadas a comunicar UMA A OUTRA, em até 24 (vinte e quatro) horas, a contar da ciência do ocorrido, qualquer incidente de segurança aos dados pessoais repassados em decorrência desta licitação e a adotar as providências dispostas no </w:t>
      </w:r>
      <w:r>
        <w:fldChar w:fldCharType="begin"/>
      </w:r>
      <w:r>
        <w:rPr>
          <w:rStyle w:val="54"/>
        </w:rPr>
        <w:instrText xml:space="preserve"> HYPERLINK "https://www.planalto.gov.br/ccivil_03/_ato2015-2018/2018/lei/l13709.htm" \l "art48"</w:instrText>
      </w:r>
      <w:r>
        <w:rPr>
          <w:rStyle w:val="54"/>
        </w:rPr>
        <w:fldChar w:fldCharType="separate"/>
      </w:r>
      <w:r>
        <w:rPr>
          <w:rStyle w:val="54"/>
        </w:rPr>
        <w:t>art. 48 da Lei Federal nº 13.709, de 2018</w:t>
      </w:r>
      <w:r>
        <w:rPr>
          <w:rStyle w:val="54"/>
        </w:rPr>
        <w:fldChar w:fldCharType="end"/>
      </w:r>
      <w:r>
        <w:rPr>
          <w:rStyle w:val="45"/>
          <w:color w:val="000000" w:themeColor="text1"/>
        </w:rPr>
        <w:t>.</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themeColor="text1"/>
        </w:rPr>
        <w:t xml:space="preserve">Para a execução do objeto, em observância ao disposto na </w:t>
      </w:r>
      <w:r>
        <w:fldChar w:fldCharType="begin"/>
      </w:r>
      <w:r>
        <w:instrText xml:space="preserve"> HYPERLINK "https://www.planalto.gov.br/ccivil_03/_ato2015-2018/2018/lei/l13709.htm" \h </w:instrText>
      </w:r>
      <w:r>
        <w:fldChar w:fldCharType="separate"/>
      </w:r>
      <w:r>
        <w:rPr>
          <w:rStyle w:val="54"/>
        </w:rPr>
        <w:t>Lei Federal nº 13.709, de 2018</w:t>
      </w:r>
      <w:r>
        <w:rPr>
          <w:rStyle w:val="54"/>
        </w:rPr>
        <w:fldChar w:fldCharType="end"/>
      </w:r>
      <w:r>
        <w:rPr>
          <w:rStyle w:val="45"/>
          <w:color w:val="000000" w:themeColor="text1"/>
        </w:rPr>
        <w:t xml:space="preserve"> (LGPD), na </w:t>
      </w:r>
      <w:r>
        <w:fldChar w:fldCharType="begin"/>
      </w:r>
      <w:r>
        <w:instrText xml:space="preserve"> HYPERLINK "https://www.planalto.gov.br/ccivil_03/leis/lcp/lcp101.htm" \h </w:instrText>
      </w:r>
      <w:r>
        <w:fldChar w:fldCharType="separate"/>
      </w:r>
      <w:r>
        <w:rPr>
          <w:rStyle w:val="54"/>
        </w:rPr>
        <w:t>Lei Complementar Federal nº 101, de 2000</w:t>
      </w:r>
      <w:r>
        <w:rPr>
          <w:rStyle w:val="54"/>
        </w:rPr>
        <w:fldChar w:fldCharType="end"/>
      </w:r>
      <w:r>
        <w:rPr>
          <w:rStyle w:val="45"/>
          <w:color w:val="000000" w:themeColor="text1"/>
        </w:rPr>
        <w:t xml:space="preserve"> (Lei de Responsabilidade Fiscal) e na </w:t>
      </w:r>
      <w:r>
        <w:fldChar w:fldCharType="begin"/>
      </w:r>
      <w:r>
        <w:instrText xml:space="preserve"> HYPERLINK "https://www.planalto.gov.br/ccivil_03/_ato2011-2014/2011/lei/l12527.htm" \h </w:instrText>
      </w:r>
      <w:r>
        <w:fldChar w:fldCharType="separate"/>
      </w:r>
      <w:r>
        <w:rPr>
          <w:rStyle w:val="54"/>
        </w:rPr>
        <w:t>Lei Federal nº 12.527, de 2011</w:t>
      </w:r>
      <w:r>
        <w:rPr>
          <w:rStyle w:val="54"/>
        </w:rPr>
        <w:fldChar w:fldCharType="end"/>
      </w:r>
      <w:r>
        <w:rPr>
          <w:rStyle w:val="45"/>
          <w:color w:val="000000" w:themeColor="text1"/>
        </w:rPr>
        <w:t xml:space="preserve"> (Lei de Acesso à Informação) e ao princípio da transparência, a(s) Licitante(s) e seus representantes ficam cientes do acesso pela </w:t>
      </w:r>
      <w:r>
        <w:rPr>
          <w:color w:val="000000"/>
        </w:rPr>
        <w:t>Câmara Municipal de Primavera do Leste - MT</w:t>
      </w:r>
      <w:r>
        <w:rPr>
          <w:rStyle w:val="45"/>
          <w:color w:val="000000" w:themeColor="text1"/>
        </w:rPr>
        <w:t xml:space="preserve"> de seus dados pessoais, tais como número do CPF, RG, estado civil, endereço comercial, endereço residencial e endereço eletrônico, cuja divulgação ficará adstrita, em respeito ao princípio da necessidade, ao endereço comercial informado, ressalvadas as hipóteses de divulgação em cumprimento a exigência legal. </w:t>
      </w:r>
    </w:p>
    <w:p>
      <w:pPr>
        <w:pStyle w:val="2"/>
        <w:spacing w:before="360" w:after="0"/>
      </w:pPr>
      <w:bookmarkStart w:id="55" w:name="_Toc144196074"/>
      <w:bookmarkStart w:id="56" w:name="_Toc149517463"/>
      <w:r>
        <w:rPr>
          <w:rStyle w:val="45"/>
        </w:rPr>
        <w:t>CRÉDITOS ORÇAMENTÁRIOS </w:t>
      </w:r>
      <w:bookmarkEnd w:id="55"/>
      <w:bookmarkEnd w:id="56"/>
      <w:r>
        <w:rPr>
          <w:rStyle w:val="45"/>
        </w:rPr>
        <w:t> </w:t>
      </w:r>
    </w:p>
    <w:p>
      <w:pPr>
        <w:widowControl/>
        <w:suppressAutoHyphens/>
        <w:bidi w:val="0"/>
        <w:spacing w:before="0" w:after="120" w:line="276" w:lineRule="auto"/>
        <w:ind w:left="0" w:right="0" w:firstLine="567"/>
        <w:jc w:val="both"/>
        <w:rPr>
          <w:rFonts w:ascii="Times New Roman" w:hAnsi="Times New Roman"/>
        </w:rPr>
      </w:pPr>
      <w:r>
        <w:rPr>
          <w:rFonts w:ascii="Times New Roman" w:hAnsi="Times New Roman" w:cs="Arial"/>
          <w:sz w:val="24"/>
          <w:szCs w:val="24"/>
        </w:rPr>
        <w:t>As despesas oriundas da presente aquisição correrão por conta de recursos próprios específicos consignados no orçamento da Câmara Municipal de Primavera do Leste nas dotações orçamentárias relacionadas abaixo:</w:t>
      </w:r>
    </w:p>
    <w:tbl>
      <w:tblPr>
        <w:tblStyle w:val="9"/>
        <w:tblW w:w="8938" w:type="dxa"/>
        <w:tblInd w:w="40" w:type="dxa"/>
        <w:tblLayout w:type="fixed"/>
        <w:tblCellMar>
          <w:top w:w="55" w:type="dxa"/>
          <w:left w:w="55" w:type="dxa"/>
          <w:bottom w:w="55" w:type="dxa"/>
          <w:right w:w="55" w:type="dxa"/>
        </w:tblCellMar>
      </w:tblPr>
      <w:tblGrid>
        <w:gridCol w:w="2127"/>
        <w:gridCol w:w="2616"/>
        <w:gridCol w:w="4195"/>
      </w:tblGrid>
      <w:tr>
        <w:tblPrEx>
          <w:tblCellMar>
            <w:top w:w="55" w:type="dxa"/>
            <w:left w:w="55" w:type="dxa"/>
            <w:bottom w:w="55" w:type="dxa"/>
            <w:right w:w="55" w:type="dxa"/>
          </w:tblCellMar>
        </w:tblPrEx>
        <w:trPr>
          <w:trHeight w:val="90" w:hRule="atLeast"/>
        </w:trPr>
        <w:tc>
          <w:tcPr>
            <w:tcW w:w="2127" w:type="dxa"/>
            <w:tcBorders>
              <w:top w:val="single" w:color="000000" w:sz="2" w:space="0"/>
              <w:left w:val="single" w:color="000000" w:sz="2" w:space="0"/>
              <w:bottom w:val="single" w:color="000000" w:sz="2" w:space="0"/>
            </w:tcBorders>
            <w:vAlign w:val="center"/>
          </w:tcPr>
          <w:p>
            <w:pPr>
              <w:pStyle w:val="171"/>
              <w:widowControl/>
              <w:suppressAutoHyphens/>
              <w:spacing w:before="0" w:after="200" w:line="240" w:lineRule="auto"/>
              <w:jc w:val="left"/>
              <w:rPr>
                <w:rFonts w:ascii="Times New Roman" w:hAnsi="Times New Roman" w:eastAsia="SimSun" w:cs="Times New Roman"/>
                <w:kern w:val="0"/>
                <w:sz w:val="20"/>
                <w:szCs w:val="20"/>
                <w:lang w:val="pt-BR" w:eastAsia="zh-CN" w:bidi="hi-IN"/>
              </w:rPr>
            </w:pPr>
            <w:r>
              <w:rPr>
                <w:rFonts w:ascii="Times New Roman" w:hAnsi="Times New Roman" w:eastAsia="Calibri" w:cs="Times New Roman"/>
                <w:b/>
                <w:bCs/>
                <w:kern w:val="0"/>
                <w:sz w:val="18"/>
                <w:szCs w:val="18"/>
                <w:shd w:val="clear" w:fill="auto"/>
                <w:lang w:val="pt-BR" w:eastAsia="zh-CN" w:bidi="hi-IN"/>
              </w:rPr>
              <w:t>Órgão</w:t>
            </w:r>
          </w:p>
        </w:tc>
        <w:tc>
          <w:tcPr>
            <w:tcW w:w="2616" w:type="dxa"/>
            <w:tcBorders>
              <w:top w:val="single" w:color="000000" w:sz="2" w:space="0"/>
              <w:left w:val="single" w:color="000000" w:sz="2" w:space="0"/>
              <w:bottom w:val="single" w:color="000000" w:sz="2" w:space="0"/>
            </w:tcBorders>
            <w:vAlign w:val="center"/>
          </w:tcPr>
          <w:p>
            <w:pPr>
              <w:pStyle w:val="171"/>
              <w:widowControl/>
              <w:suppressAutoHyphens/>
              <w:spacing w:before="0" w:after="200" w:line="240" w:lineRule="auto"/>
              <w:jc w:val="left"/>
              <w:rPr>
                <w:rFonts w:ascii="Times New Roman" w:hAnsi="Times New Roman" w:eastAsia="SimSun" w:cs="Times New Roman"/>
                <w:kern w:val="0"/>
                <w:sz w:val="20"/>
                <w:szCs w:val="20"/>
                <w:lang w:val="pt-BR" w:eastAsia="zh-CN" w:bidi="hi-IN"/>
              </w:rPr>
            </w:pPr>
            <w:r>
              <w:rPr>
                <w:rFonts w:ascii="Times New Roman" w:hAnsi="Times New Roman" w:eastAsia="Calibri" w:cs="Times New Roman"/>
                <w:kern w:val="0"/>
                <w:sz w:val="18"/>
                <w:szCs w:val="18"/>
                <w:shd w:val="clear" w:fill="auto"/>
                <w:lang w:val="pt-BR" w:eastAsia="zh-CN" w:bidi="hi-IN"/>
              </w:rPr>
              <w:t>01</w:t>
            </w:r>
          </w:p>
        </w:tc>
        <w:tc>
          <w:tcPr>
            <w:tcW w:w="4195" w:type="dxa"/>
            <w:tcBorders>
              <w:top w:val="single" w:color="000000" w:sz="2" w:space="0"/>
              <w:left w:val="single" w:color="000000" w:sz="2" w:space="0"/>
              <w:bottom w:val="single" w:color="000000" w:sz="2" w:space="0"/>
              <w:right w:val="single" w:color="000000" w:sz="2" w:space="0"/>
            </w:tcBorders>
            <w:vAlign w:val="center"/>
          </w:tcPr>
          <w:p>
            <w:pPr>
              <w:pStyle w:val="171"/>
              <w:widowControl/>
              <w:suppressAutoHyphens/>
              <w:spacing w:before="0" w:after="200" w:line="240" w:lineRule="auto"/>
              <w:jc w:val="left"/>
              <w:rPr>
                <w:rFonts w:ascii="Times New Roman" w:hAnsi="Times New Roman" w:eastAsia="SimSun" w:cs="Times New Roman"/>
                <w:kern w:val="0"/>
                <w:sz w:val="20"/>
                <w:szCs w:val="20"/>
                <w:lang w:val="pt-BR" w:eastAsia="zh-CN" w:bidi="hi-IN"/>
              </w:rPr>
            </w:pPr>
            <w:r>
              <w:rPr>
                <w:rFonts w:ascii="Times New Roman" w:hAnsi="Times New Roman" w:eastAsia="Calibri" w:cs="Times New Roman"/>
                <w:kern w:val="0"/>
                <w:sz w:val="18"/>
                <w:szCs w:val="18"/>
                <w:shd w:val="clear" w:fill="auto"/>
                <w:lang w:val="pt-BR" w:eastAsia="zh-CN" w:bidi="hi-IN"/>
              </w:rPr>
              <w:t>CÂMARA MUNICIPAL</w:t>
            </w:r>
          </w:p>
        </w:tc>
      </w:tr>
      <w:tr>
        <w:tblPrEx>
          <w:tblCellMar>
            <w:top w:w="55" w:type="dxa"/>
            <w:left w:w="55" w:type="dxa"/>
            <w:bottom w:w="55" w:type="dxa"/>
            <w:right w:w="55" w:type="dxa"/>
          </w:tblCellMar>
        </w:tblPrEx>
        <w:trPr>
          <w:trHeight w:val="90" w:hRule="atLeast"/>
        </w:trPr>
        <w:tc>
          <w:tcPr>
            <w:tcW w:w="2127" w:type="dxa"/>
            <w:tcBorders>
              <w:left w:val="single" w:color="000000" w:sz="2" w:space="0"/>
              <w:bottom w:val="single" w:color="000000" w:sz="2" w:space="0"/>
            </w:tcBorders>
            <w:vAlign w:val="center"/>
          </w:tcPr>
          <w:p>
            <w:pPr>
              <w:pStyle w:val="171"/>
              <w:widowControl/>
              <w:suppressAutoHyphens/>
              <w:spacing w:before="0" w:after="200" w:line="240" w:lineRule="auto"/>
              <w:jc w:val="left"/>
              <w:rPr>
                <w:rFonts w:ascii="Times New Roman" w:hAnsi="Times New Roman" w:eastAsia="SimSun" w:cs="Times New Roman"/>
                <w:kern w:val="0"/>
                <w:sz w:val="20"/>
                <w:szCs w:val="20"/>
                <w:lang w:val="pt-BR" w:eastAsia="zh-CN" w:bidi="hi-IN"/>
              </w:rPr>
            </w:pPr>
            <w:r>
              <w:rPr>
                <w:rFonts w:ascii="Times New Roman" w:hAnsi="Times New Roman" w:eastAsia="Calibri" w:cs="Times New Roman"/>
                <w:b/>
                <w:bCs/>
                <w:kern w:val="0"/>
                <w:sz w:val="18"/>
                <w:szCs w:val="18"/>
                <w:shd w:val="clear" w:fill="auto"/>
                <w:lang w:val="pt-BR" w:eastAsia="zh-CN" w:bidi="hi-IN"/>
              </w:rPr>
              <w:t>Unid Orçamentária</w:t>
            </w:r>
          </w:p>
        </w:tc>
        <w:tc>
          <w:tcPr>
            <w:tcW w:w="2616" w:type="dxa"/>
            <w:tcBorders>
              <w:left w:val="single" w:color="000000" w:sz="2" w:space="0"/>
              <w:bottom w:val="single" w:color="000000" w:sz="2" w:space="0"/>
            </w:tcBorders>
            <w:vAlign w:val="center"/>
          </w:tcPr>
          <w:p>
            <w:pPr>
              <w:pStyle w:val="171"/>
              <w:widowControl/>
              <w:suppressAutoHyphens/>
              <w:spacing w:before="0" w:after="200" w:line="240" w:lineRule="auto"/>
              <w:jc w:val="left"/>
              <w:rPr>
                <w:rFonts w:ascii="Times New Roman" w:hAnsi="Times New Roman" w:eastAsia="SimSun" w:cs="Times New Roman"/>
                <w:kern w:val="0"/>
                <w:sz w:val="20"/>
                <w:szCs w:val="20"/>
                <w:lang w:val="pt-BR" w:eastAsia="zh-CN" w:bidi="hi-IN"/>
              </w:rPr>
            </w:pPr>
            <w:r>
              <w:rPr>
                <w:rFonts w:ascii="Times New Roman" w:hAnsi="Times New Roman" w:eastAsia="Calibri" w:cs="Times New Roman"/>
                <w:kern w:val="0"/>
                <w:sz w:val="18"/>
                <w:szCs w:val="18"/>
                <w:shd w:val="clear" w:fill="auto"/>
                <w:lang w:val="pt-BR" w:eastAsia="zh-CN" w:bidi="hi-IN"/>
              </w:rPr>
              <w:t>01.00.1</w:t>
            </w:r>
          </w:p>
        </w:tc>
        <w:tc>
          <w:tcPr>
            <w:tcW w:w="4195" w:type="dxa"/>
            <w:tcBorders>
              <w:left w:val="single" w:color="000000" w:sz="2" w:space="0"/>
              <w:bottom w:val="single" w:color="000000" w:sz="2" w:space="0"/>
              <w:right w:val="single" w:color="000000" w:sz="2" w:space="0"/>
            </w:tcBorders>
            <w:vAlign w:val="center"/>
          </w:tcPr>
          <w:p>
            <w:pPr>
              <w:pStyle w:val="171"/>
              <w:widowControl/>
              <w:suppressAutoHyphens/>
              <w:spacing w:before="0" w:after="200" w:line="240" w:lineRule="auto"/>
              <w:jc w:val="left"/>
              <w:rPr>
                <w:rFonts w:ascii="Times New Roman" w:hAnsi="Times New Roman" w:eastAsia="SimSun" w:cs="Times New Roman"/>
                <w:kern w:val="0"/>
                <w:sz w:val="20"/>
                <w:szCs w:val="20"/>
                <w:lang w:val="pt-BR" w:eastAsia="zh-CN" w:bidi="hi-IN"/>
              </w:rPr>
            </w:pPr>
            <w:r>
              <w:rPr>
                <w:rFonts w:ascii="Times New Roman" w:hAnsi="Times New Roman" w:eastAsia="Calibri" w:cs="Times New Roman"/>
                <w:kern w:val="0"/>
                <w:sz w:val="18"/>
                <w:szCs w:val="18"/>
                <w:shd w:val="clear" w:fill="auto"/>
                <w:lang w:val="pt-BR" w:eastAsia="zh-CN" w:bidi="hi-IN"/>
              </w:rPr>
              <w:t>DEPARTAMENTO ADMINISTRATIVO</w:t>
            </w:r>
          </w:p>
        </w:tc>
      </w:tr>
      <w:tr>
        <w:tblPrEx>
          <w:tblCellMar>
            <w:top w:w="55" w:type="dxa"/>
            <w:left w:w="55" w:type="dxa"/>
            <w:bottom w:w="55" w:type="dxa"/>
            <w:right w:w="55" w:type="dxa"/>
          </w:tblCellMar>
        </w:tblPrEx>
        <w:trPr>
          <w:trHeight w:val="90" w:hRule="atLeast"/>
        </w:trPr>
        <w:tc>
          <w:tcPr>
            <w:tcW w:w="2127" w:type="dxa"/>
            <w:tcBorders>
              <w:left w:val="single" w:color="000000" w:sz="2" w:space="0"/>
              <w:bottom w:val="single" w:color="000000" w:sz="2" w:space="0"/>
            </w:tcBorders>
            <w:vAlign w:val="center"/>
          </w:tcPr>
          <w:p>
            <w:pPr>
              <w:pStyle w:val="171"/>
              <w:widowControl/>
              <w:suppressAutoHyphens/>
              <w:spacing w:before="0" w:after="200" w:line="240" w:lineRule="auto"/>
              <w:jc w:val="left"/>
              <w:rPr>
                <w:rFonts w:ascii="Times New Roman" w:hAnsi="Times New Roman" w:eastAsia="SimSun" w:cs="Times New Roman"/>
                <w:kern w:val="0"/>
                <w:sz w:val="20"/>
                <w:szCs w:val="20"/>
                <w:lang w:val="pt-BR" w:eastAsia="zh-CN" w:bidi="hi-IN"/>
              </w:rPr>
            </w:pPr>
            <w:r>
              <w:rPr>
                <w:rFonts w:ascii="Times New Roman" w:hAnsi="Times New Roman" w:eastAsia="Calibri" w:cs="Times New Roman"/>
                <w:b/>
                <w:bCs/>
                <w:kern w:val="0"/>
                <w:sz w:val="18"/>
                <w:szCs w:val="18"/>
                <w:shd w:val="clear" w:fill="auto"/>
                <w:lang w:val="pt-BR" w:eastAsia="zh-CN" w:bidi="hi-IN"/>
              </w:rPr>
              <w:t>Unidade Executora</w:t>
            </w:r>
          </w:p>
        </w:tc>
        <w:tc>
          <w:tcPr>
            <w:tcW w:w="2616" w:type="dxa"/>
            <w:tcBorders>
              <w:left w:val="single" w:color="000000" w:sz="2" w:space="0"/>
              <w:bottom w:val="single" w:color="000000" w:sz="2" w:space="0"/>
            </w:tcBorders>
            <w:vAlign w:val="center"/>
          </w:tcPr>
          <w:p>
            <w:pPr>
              <w:pStyle w:val="171"/>
              <w:widowControl/>
              <w:suppressAutoHyphens/>
              <w:spacing w:before="0" w:after="200" w:line="240" w:lineRule="auto"/>
              <w:jc w:val="left"/>
              <w:rPr>
                <w:rFonts w:ascii="Times New Roman" w:hAnsi="Times New Roman" w:eastAsia="SimSun" w:cs="Times New Roman"/>
                <w:kern w:val="0"/>
                <w:sz w:val="20"/>
                <w:szCs w:val="20"/>
                <w:lang w:val="pt-BR" w:eastAsia="zh-CN" w:bidi="hi-IN"/>
              </w:rPr>
            </w:pPr>
            <w:r>
              <w:rPr>
                <w:rFonts w:ascii="Times New Roman" w:hAnsi="Times New Roman" w:eastAsia="Calibri" w:cs="Times New Roman"/>
                <w:kern w:val="0"/>
                <w:sz w:val="18"/>
                <w:szCs w:val="18"/>
                <w:shd w:val="clear" w:fill="auto"/>
                <w:lang w:val="pt-BR" w:eastAsia="zh-CN" w:bidi="hi-IN"/>
              </w:rPr>
              <w:t>01.001</w:t>
            </w:r>
          </w:p>
        </w:tc>
        <w:tc>
          <w:tcPr>
            <w:tcW w:w="4195" w:type="dxa"/>
            <w:tcBorders>
              <w:left w:val="single" w:color="000000" w:sz="2" w:space="0"/>
              <w:bottom w:val="single" w:color="000000" w:sz="2" w:space="0"/>
              <w:right w:val="single" w:color="000000" w:sz="2" w:space="0"/>
            </w:tcBorders>
            <w:vAlign w:val="center"/>
          </w:tcPr>
          <w:p>
            <w:pPr>
              <w:pStyle w:val="171"/>
              <w:widowControl/>
              <w:suppressAutoHyphens/>
              <w:spacing w:before="0" w:after="200" w:line="240" w:lineRule="auto"/>
              <w:jc w:val="left"/>
              <w:rPr>
                <w:rFonts w:ascii="Times New Roman" w:hAnsi="Times New Roman" w:eastAsia="SimSun" w:cs="Times New Roman"/>
                <w:kern w:val="0"/>
                <w:sz w:val="20"/>
                <w:szCs w:val="20"/>
                <w:lang w:val="pt-BR" w:eastAsia="zh-CN" w:bidi="hi-IN"/>
              </w:rPr>
            </w:pPr>
            <w:r>
              <w:rPr>
                <w:rFonts w:ascii="Times New Roman" w:hAnsi="Times New Roman" w:eastAsia="Calibri" w:cs="Times New Roman"/>
                <w:kern w:val="0"/>
                <w:sz w:val="18"/>
                <w:szCs w:val="18"/>
                <w:shd w:val="clear" w:fill="auto"/>
                <w:lang w:val="pt-BR" w:eastAsia="zh-CN" w:bidi="hi-IN"/>
              </w:rPr>
              <w:t>DEPARTAMENTO ADMINISTRATIVO</w:t>
            </w:r>
          </w:p>
        </w:tc>
      </w:tr>
      <w:tr>
        <w:tblPrEx>
          <w:tblCellMar>
            <w:top w:w="55" w:type="dxa"/>
            <w:left w:w="55" w:type="dxa"/>
            <w:bottom w:w="55" w:type="dxa"/>
            <w:right w:w="55" w:type="dxa"/>
          </w:tblCellMar>
        </w:tblPrEx>
        <w:trPr>
          <w:trHeight w:val="90" w:hRule="atLeast"/>
        </w:trPr>
        <w:tc>
          <w:tcPr>
            <w:tcW w:w="2127" w:type="dxa"/>
            <w:tcBorders>
              <w:left w:val="single" w:color="000000" w:sz="2" w:space="0"/>
              <w:bottom w:val="single" w:color="000000" w:sz="2" w:space="0"/>
            </w:tcBorders>
            <w:vAlign w:val="center"/>
          </w:tcPr>
          <w:p>
            <w:pPr>
              <w:pStyle w:val="171"/>
              <w:widowControl/>
              <w:suppressAutoHyphens/>
              <w:spacing w:before="0" w:after="200" w:line="240" w:lineRule="auto"/>
              <w:jc w:val="left"/>
              <w:rPr>
                <w:rFonts w:ascii="Times New Roman" w:hAnsi="Times New Roman" w:eastAsia="SimSun" w:cs="Times New Roman"/>
                <w:kern w:val="0"/>
                <w:sz w:val="20"/>
                <w:szCs w:val="20"/>
                <w:lang w:val="pt-BR" w:eastAsia="zh-CN" w:bidi="hi-IN"/>
              </w:rPr>
            </w:pPr>
            <w:r>
              <w:rPr>
                <w:rFonts w:ascii="Times New Roman" w:hAnsi="Times New Roman" w:eastAsia="Calibri" w:cs="Times New Roman"/>
                <w:b/>
                <w:bCs/>
                <w:kern w:val="0"/>
                <w:sz w:val="18"/>
                <w:szCs w:val="18"/>
                <w:shd w:val="clear" w:fill="auto"/>
                <w:lang w:val="pt-BR" w:eastAsia="zh-CN" w:bidi="hi-IN"/>
              </w:rPr>
              <w:t>Função programática</w:t>
            </w:r>
          </w:p>
        </w:tc>
        <w:tc>
          <w:tcPr>
            <w:tcW w:w="2616" w:type="dxa"/>
            <w:tcBorders>
              <w:left w:val="single" w:color="000000" w:sz="2" w:space="0"/>
              <w:bottom w:val="single" w:color="000000" w:sz="2" w:space="0"/>
            </w:tcBorders>
            <w:vAlign w:val="center"/>
          </w:tcPr>
          <w:p>
            <w:pPr>
              <w:pStyle w:val="171"/>
              <w:widowControl/>
              <w:suppressAutoHyphens/>
              <w:spacing w:before="0" w:after="200" w:line="240" w:lineRule="auto"/>
              <w:jc w:val="left"/>
              <w:rPr>
                <w:rFonts w:ascii="Times New Roman" w:hAnsi="Times New Roman" w:eastAsia="SimSun" w:cs="Times New Roman"/>
                <w:kern w:val="0"/>
                <w:sz w:val="20"/>
                <w:szCs w:val="20"/>
                <w:lang w:val="pt-BR" w:eastAsia="zh-CN" w:bidi="hi-IN"/>
              </w:rPr>
            </w:pPr>
            <w:r>
              <w:rPr>
                <w:rFonts w:ascii="Times New Roman" w:hAnsi="Times New Roman" w:eastAsia="Calibri" w:cs="Times New Roman"/>
                <w:kern w:val="0"/>
                <w:sz w:val="18"/>
                <w:szCs w:val="18"/>
                <w:shd w:val="clear" w:fill="auto"/>
                <w:lang w:val="pt-BR" w:eastAsia="zh-CN" w:bidi="hi-IN"/>
              </w:rPr>
              <w:t>01.031.0001-2.001</w:t>
            </w:r>
          </w:p>
        </w:tc>
        <w:tc>
          <w:tcPr>
            <w:tcW w:w="4195" w:type="dxa"/>
            <w:tcBorders>
              <w:left w:val="single" w:color="000000" w:sz="2" w:space="0"/>
              <w:bottom w:val="single" w:color="000000" w:sz="2" w:space="0"/>
              <w:right w:val="single" w:color="000000" w:sz="2" w:space="0"/>
            </w:tcBorders>
            <w:vAlign w:val="center"/>
          </w:tcPr>
          <w:p>
            <w:pPr>
              <w:pStyle w:val="171"/>
              <w:widowControl/>
              <w:suppressAutoHyphens/>
              <w:spacing w:before="0" w:after="200" w:line="240" w:lineRule="auto"/>
              <w:jc w:val="left"/>
              <w:rPr>
                <w:rFonts w:ascii="Times New Roman" w:hAnsi="Times New Roman" w:eastAsia="SimSun" w:cs="Times New Roman"/>
                <w:kern w:val="0"/>
                <w:sz w:val="20"/>
                <w:szCs w:val="20"/>
                <w:lang w:val="pt-BR" w:eastAsia="zh-CN" w:bidi="hi-IN"/>
              </w:rPr>
            </w:pPr>
            <w:r>
              <w:rPr>
                <w:rFonts w:ascii="Times New Roman" w:hAnsi="Times New Roman" w:eastAsia="Calibri" w:cs="Times New Roman"/>
                <w:kern w:val="0"/>
                <w:sz w:val="18"/>
                <w:szCs w:val="18"/>
                <w:shd w:val="clear" w:fill="auto"/>
                <w:lang w:val="pt-BR" w:eastAsia="zh-CN" w:bidi="hi-IN"/>
              </w:rPr>
              <w:t>MANUTENÇÃO DEPARTAMENTO ADMINISTRATIVO DA CÂMARA MUNICIPAL</w:t>
            </w:r>
          </w:p>
        </w:tc>
      </w:tr>
      <w:tr>
        <w:tblPrEx>
          <w:tblCellMar>
            <w:top w:w="55" w:type="dxa"/>
            <w:left w:w="55" w:type="dxa"/>
            <w:bottom w:w="55" w:type="dxa"/>
            <w:right w:w="55" w:type="dxa"/>
          </w:tblCellMar>
        </w:tblPrEx>
        <w:trPr>
          <w:trHeight w:val="90" w:hRule="atLeast"/>
        </w:trPr>
        <w:tc>
          <w:tcPr>
            <w:tcW w:w="2127" w:type="dxa"/>
            <w:tcBorders>
              <w:left w:val="single" w:color="000000" w:sz="2" w:space="0"/>
              <w:bottom w:val="single" w:color="000000" w:sz="2" w:space="0"/>
            </w:tcBorders>
            <w:vAlign w:val="center"/>
          </w:tcPr>
          <w:p>
            <w:pPr>
              <w:pStyle w:val="171"/>
              <w:widowControl/>
              <w:suppressAutoHyphens/>
              <w:spacing w:before="0" w:after="200" w:line="240" w:lineRule="auto"/>
              <w:jc w:val="left"/>
              <w:rPr>
                <w:rFonts w:ascii="Times New Roman" w:hAnsi="Times New Roman" w:eastAsia="SimSun" w:cs="Times New Roman"/>
                <w:kern w:val="0"/>
                <w:sz w:val="20"/>
                <w:szCs w:val="20"/>
                <w:lang w:val="pt-BR" w:eastAsia="zh-CN" w:bidi="hi-IN"/>
              </w:rPr>
            </w:pPr>
            <w:r>
              <w:rPr>
                <w:rFonts w:ascii="Times New Roman" w:hAnsi="Times New Roman" w:eastAsia="Calibri" w:cs="Times New Roman"/>
                <w:b/>
                <w:bCs/>
                <w:kern w:val="0"/>
                <w:sz w:val="18"/>
                <w:szCs w:val="18"/>
                <w:shd w:val="clear" w:fill="auto"/>
                <w:lang w:val="pt-BR" w:eastAsia="zh-CN" w:bidi="hi-IN"/>
              </w:rPr>
              <w:t>Elemento</w:t>
            </w:r>
          </w:p>
        </w:tc>
        <w:tc>
          <w:tcPr>
            <w:tcW w:w="2616" w:type="dxa"/>
            <w:tcBorders>
              <w:left w:val="single" w:color="000000" w:sz="2" w:space="0"/>
              <w:bottom w:val="single" w:color="000000" w:sz="2" w:space="0"/>
            </w:tcBorders>
            <w:vAlign w:val="center"/>
          </w:tcPr>
          <w:p>
            <w:pPr>
              <w:pStyle w:val="171"/>
              <w:widowControl/>
              <w:suppressAutoHyphens/>
              <w:spacing w:before="0" w:after="200" w:line="240" w:lineRule="auto"/>
              <w:jc w:val="left"/>
              <w:rPr>
                <w:rFonts w:ascii="Times New Roman" w:hAnsi="Times New Roman" w:eastAsia="SimSun" w:cs="Times New Roman"/>
                <w:kern w:val="0"/>
                <w:sz w:val="20"/>
                <w:szCs w:val="20"/>
                <w:lang w:val="pt-BR" w:eastAsia="zh-CN" w:bidi="hi-IN"/>
              </w:rPr>
            </w:pPr>
            <w:r>
              <w:rPr>
                <w:rFonts w:ascii="Times New Roman" w:hAnsi="Times New Roman" w:eastAsia="Calibri" w:cs="Times New Roman"/>
                <w:kern w:val="0"/>
                <w:sz w:val="18"/>
                <w:szCs w:val="18"/>
                <w:shd w:val="clear" w:fill="auto"/>
                <w:lang w:val="pt-BR" w:eastAsia="zh-CN" w:bidi="hi-IN"/>
              </w:rPr>
              <w:t>3.3.90.39.00</w:t>
            </w:r>
          </w:p>
        </w:tc>
        <w:tc>
          <w:tcPr>
            <w:tcW w:w="4195" w:type="dxa"/>
            <w:tcBorders>
              <w:left w:val="single" w:color="000000" w:sz="2" w:space="0"/>
              <w:bottom w:val="single" w:color="000000" w:sz="2" w:space="0"/>
              <w:right w:val="single" w:color="000000" w:sz="2" w:space="0"/>
            </w:tcBorders>
            <w:vAlign w:val="center"/>
          </w:tcPr>
          <w:p>
            <w:pPr>
              <w:pStyle w:val="171"/>
              <w:widowControl/>
              <w:suppressAutoHyphens/>
              <w:spacing w:before="0" w:after="200" w:line="240" w:lineRule="auto"/>
              <w:jc w:val="left"/>
              <w:rPr>
                <w:rFonts w:ascii="Times New Roman" w:hAnsi="Times New Roman" w:eastAsia="SimSun" w:cs="Times New Roman"/>
                <w:kern w:val="0"/>
                <w:sz w:val="20"/>
                <w:szCs w:val="20"/>
                <w:lang w:val="pt-BR" w:eastAsia="zh-CN" w:bidi="hi-IN"/>
              </w:rPr>
            </w:pPr>
            <w:r>
              <w:rPr>
                <w:rFonts w:ascii="Times New Roman" w:hAnsi="Times New Roman" w:eastAsia="Calibri" w:cs="Times New Roman"/>
                <w:kern w:val="0"/>
                <w:sz w:val="18"/>
                <w:szCs w:val="18"/>
                <w:shd w:val="clear" w:fill="auto"/>
                <w:lang w:val="pt-BR" w:eastAsia="zh-CN" w:bidi="hi-IN"/>
              </w:rPr>
              <w:t>SERVIÇOS DE TERCEIROS – PESSOA JURÍDICA</w:t>
            </w:r>
          </w:p>
        </w:tc>
      </w:tr>
    </w:tbl>
    <w:p>
      <w:pPr>
        <w:pStyle w:val="3"/>
        <w:numPr>
          <w:ilvl w:val="1"/>
          <w:numId w:val="1"/>
        </w:numPr>
        <w:tabs>
          <w:tab w:val="left" w:pos="1134"/>
        </w:tabs>
        <w:spacing w:before="120" w:beforeAutospacing="0" w:after="0" w:afterAutospacing="0"/>
        <w:ind w:left="0" w:firstLine="567"/>
        <w:jc w:val="both"/>
        <w:textAlignment w:val="baseline"/>
      </w:pPr>
      <w:r>
        <w:rPr>
          <w:color w:val="000000"/>
        </w:rPr>
        <w:t xml:space="preserve">Em </w:t>
      </w:r>
      <w:r>
        <w:rPr>
          <w:rStyle w:val="45"/>
          <w:color w:val="000000" w:themeColor="text1"/>
        </w:rPr>
        <w:t>caso</w:t>
      </w:r>
      <w:r>
        <w:rPr>
          <w:color w:val="000000"/>
        </w:rPr>
        <w:t xml:space="preserve"> de </w:t>
      </w:r>
      <w:r>
        <w:rPr>
          <w:rStyle w:val="45"/>
          <w:color w:val="000000" w:themeColor="text1"/>
        </w:rPr>
        <w:t>divergência</w:t>
      </w:r>
      <w:r>
        <w:rPr>
          <w:color w:val="000000"/>
        </w:rPr>
        <w:t xml:space="preserve"> existente entre as especificações descritas no </w:t>
      </w:r>
      <w:r>
        <w:t>Portal Licitanet (</w:t>
      </w:r>
      <w:r>
        <w:fldChar w:fldCharType="begin"/>
      </w:r>
      <w:r>
        <w:instrText xml:space="preserve"> HYPERLINK "https://www.licitanet.com.br/" \h </w:instrText>
      </w:r>
      <w:r>
        <w:fldChar w:fldCharType="separate"/>
      </w:r>
      <w:r>
        <w:rPr>
          <w:rStyle w:val="54"/>
        </w:rPr>
        <w:t>https://www.licitanet.com.br/</w:t>
      </w:r>
      <w:r>
        <w:rPr>
          <w:rStyle w:val="54"/>
        </w:rPr>
        <w:fldChar w:fldCharType="end"/>
      </w:r>
      <w:r>
        <w:rPr>
          <w:color w:val="000000"/>
        </w:rPr>
        <w:t>) e as especificações constantes deste Edital, prevalecerão as últimas.</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Todas </w:t>
      </w:r>
      <w:r>
        <w:rPr>
          <w:rStyle w:val="45"/>
          <w:color w:val="000000" w:themeColor="text1"/>
        </w:rPr>
        <w:t>as</w:t>
      </w:r>
      <w:r>
        <w:rPr>
          <w:color w:val="000000"/>
        </w:rPr>
        <w:t xml:space="preserve"> referências de tempo no Edital, no aviso e durante a sessão pública observarão o horário de </w:t>
      </w:r>
      <w:r>
        <w:rPr>
          <w:rStyle w:val="45"/>
          <w:color w:val="000000" w:themeColor="text1"/>
        </w:rPr>
        <w:t>Brasília</w:t>
      </w:r>
      <w:r>
        <w:rPr>
          <w:color w:val="000000"/>
        </w:rPr>
        <w:t xml:space="preserve"> / DF.</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O </w:t>
      </w:r>
      <w:r>
        <w:rPr>
          <w:rStyle w:val="45"/>
          <w:color w:val="000000" w:themeColor="text1"/>
        </w:rPr>
        <w:t>licitante</w:t>
      </w:r>
      <w:r>
        <w:rPr>
          <w:color w:val="000000"/>
        </w:rPr>
        <w:t xml:space="preserve"> será responsável por todas as transações que forem efetuadas em seu nome no sistema eletrônico, assumindo como firmes e verdadeiras suas propostas e lances.</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Incumbirá ao licitante acompanhar as operações no sistema eletrônico durante a sessão pública deste </w:t>
      </w:r>
      <w:r>
        <w:rPr>
          <w:rStyle w:val="45"/>
          <w:color w:val="000000" w:themeColor="text1"/>
        </w:rPr>
        <w:t>Pregão</w:t>
      </w:r>
      <w:r>
        <w:rPr>
          <w:color w:val="000000"/>
        </w:rPr>
        <w:t>, ficando responsável pelo ônus decorrente da perda de negócios, diante da inobservância de quaisquer mensagens emitidas pelo sistema ou de sua desconexão.</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No julgamento das propostas e da habilitação, o </w:t>
      </w:r>
      <w:r>
        <w:t>Pregoeiro</w:t>
      </w:r>
      <w:r>
        <w:rPr>
          <w:color w:val="000000"/>
        </w:rPr>
        <w:t xml:space="preserve"> poderá sanar erros ou falhas que não alterem a substância das propostas, dos documentos e sua validade jurídica, mediante decisão fundamentado, registrado em ata e acessível a todos, atribuindo-lhes validade e eficácia para fins de habilitação e classificação.</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É facultado ao(à) </w:t>
      </w:r>
      <w:r>
        <w:t>Pregoeiro</w:t>
      </w:r>
      <w:r>
        <w:rPr>
          <w:color w:val="000000"/>
        </w:rPr>
        <w:t xml:space="preserve"> e seus auxiliares proceder, em qualquer fase da licitação, diligências destinadas a esclarecer ou a complementar a instrução do processo, vedada a inclusão posterior de documento ou informação que deveria constar originalmente da proposta.</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homologação do resultado desta licitação não implicará direito à contratação.</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Será divulgada ata da sessão pública no </w:t>
      </w:r>
      <w:r>
        <w:t>Portal Licitanet (</w:t>
      </w:r>
      <w:r>
        <w:fldChar w:fldCharType="begin"/>
      </w:r>
      <w:r>
        <w:instrText xml:space="preserve"> HYPERLINK "https://www.licitanet.com.br/" \h </w:instrText>
      </w:r>
      <w:r>
        <w:fldChar w:fldCharType="separate"/>
      </w:r>
      <w:r>
        <w:rPr>
          <w:rStyle w:val="54"/>
        </w:rPr>
        <w:t>https://www.licitanet.com.br/</w:t>
      </w:r>
      <w:r>
        <w:rPr>
          <w:rStyle w:val="54"/>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Os interessados/licitantes obrigam-se ao acompanhamento das informações disponibilizadas, não podendo alegar seu desconhecimento.</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Os licitantes assumem todos os custos de preparação e apresentação de suas propostas e a Administração não será, em nenhum caso, responsável por esses custos, independentemente da condução ou do resultado do processo licitatório.</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Na contagem dos prazos estabelecidos neste Edital e seus Anexos, excluir-se-á o dia do início e incluir-se-á o do vencimento. Só se iniciam e vencem os prazos em dias de expediente na Administração.</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O desatendimento de exigências formais não essenciais não importará o afastamento do licitante, desde que seja possível o aproveitamento do ato, observados os princípios da isonomia e do interesse público.</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Nenhuma </w:t>
      </w:r>
      <w:r>
        <w:rPr>
          <w:rStyle w:val="45"/>
          <w:color w:val="000000" w:themeColor="text1"/>
        </w:rPr>
        <w:t>indenização</w:t>
      </w:r>
      <w:r>
        <w:rPr>
          <w:color w:val="000000"/>
        </w:rPr>
        <w:t xml:space="preserve"> será devida às licitantes por apresentarem documentação e/ou elaborarem proposta relativa ao presente </w:t>
      </w:r>
      <w:r>
        <w:rPr>
          <w:rStyle w:val="45"/>
          <w:color w:val="000000" w:themeColor="text1"/>
        </w:rPr>
        <w:t>Pregão</w:t>
      </w:r>
      <w:r>
        <w:rPr>
          <w:color w:val="000000"/>
        </w:rPr>
        <w:t>.</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A Câmara Municipal de Primavera do Leste - MT não se responsabilizará por eventuais danos </w:t>
      </w:r>
      <w:r>
        <w:rPr>
          <w:rStyle w:val="45"/>
          <w:color w:val="000000" w:themeColor="text1"/>
        </w:rPr>
        <w:t>causados</w:t>
      </w:r>
      <w:r>
        <w:rPr>
          <w:color w:val="000000"/>
        </w:rPr>
        <w:t xml:space="preserve"> à licitante, decorrentes do uso indevido da senha durante as transações efetuadas, ainda que por terceiros.</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Caso qualquer documento apresentado pela licitante tenha sido emitido em língua estrangeira, este deverá estar acompanhado da respectiva tradução para a língua portuguesa, efetuada por tradutor juramentado, e devidamente autenticado pela via consular ou registrado em cartório de títulos e documentos.</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Se traduzido para a língua portuguesa no exterior, a tradução deverá ter sido efetuada por profissional qualificado, segundo as leis do país de origem e os documentos autenticados pela via consular.</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O horário de atendimento presencial do protocolo administrativo da Câmara Municipal de Primavera do Leste - MT é das </w:t>
      </w:r>
      <w:r>
        <w:rPr>
          <w:color w:val="000000"/>
          <w:shd w:val="clear" w:fill="auto"/>
        </w:rPr>
        <w:t xml:space="preserve">07h00 </w:t>
      </w:r>
      <w:r>
        <w:rPr>
          <w:color w:val="000000"/>
        </w:rPr>
        <w:t>às 13h00 , de segunda a sexta-feira, no horário oficial de Mato Grosso (GMT -04:00).</w:t>
      </w:r>
    </w:p>
    <w:p>
      <w:pPr>
        <w:pStyle w:val="2"/>
        <w:spacing w:before="360" w:after="0"/>
      </w:pPr>
      <w:bookmarkStart w:id="57" w:name="_Toc149517465"/>
      <w:r>
        <w:rPr>
          <w:rStyle w:val="45"/>
        </w:rPr>
        <w:t>FORO</w:t>
      </w:r>
      <w:bookmarkEnd w:id="57"/>
    </w:p>
    <w:p>
      <w:pPr>
        <w:pStyle w:val="3"/>
        <w:numPr>
          <w:ilvl w:val="1"/>
          <w:numId w:val="1"/>
        </w:numPr>
        <w:tabs>
          <w:tab w:val="left" w:pos="1134"/>
        </w:tabs>
        <w:spacing w:before="120" w:beforeAutospacing="0" w:after="120" w:afterAutospacing="0"/>
        <w:ind w:left="0" w:firstLine="567"/>
        <w:jc w:val="both"/>
        <w:textAlignment w:val="baseline"/>
        <w:rPr>
          <w:rFonts w:ascii="Times New Roman" w:hAnsi="Times New Roman"/>
        </w:rPr>
      </w:pPr>
      <w:r>
        <w:t xml:space="preserve">As </w:t>
      </w:r>
      <w:r>
        <w:rPr>
          <w:rFonts w:cs="Times New Roman"/>
          <w:sz w:val="24"/>
          <w:szCs w:val="24"/>
        </w:rPr>
        <w:t xml:space="preserve">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da Constituição Federal.</w:t>
      </w:r>
    </w:p>
    <w:p>
      <w:pPr>
        <w:pStyle w:val="174"/>
        <w:keepNext w:val="0"/>
        <w:keepLines w:val="0"/>
        <w:pageBreakBefore w:val="0"/>
        <w:widowControl/>
        <w:overflowPunct w:val="0"/>
        <w:bidi w:val="0"/>
        <w:snapToGrid/>
        <w:spacing w:line="216" w:lineRule="auto"/>
        <w:jc w:val="both"/>
        <w:textAlignment w:val="auto"/>
        <w:rPr>
          <w:rFonts w:ascii="Times New Roman" w:hAnsi="Times New Roman" w:cs="Times New Roman"/>
          <w:sz w:val="24"/>
          <w:szCs w:val="24"/>
        </w:rPr>
      </w:pPr>
    </w:p>
    <w:p>
      <w:pPr>
        <w:pStyle w:val="174"/>
        <w:keepNext w:val="0"/>
        <w:keepLines w:val="0"/>
        <w:pageBreakBefore w:val="0"/>
        <w:widowControl/>
        <w:overflowPunct w:val="0"/>
        <w:bidi w:val="0"/>
        <w:snapToGrid/>
        <w:spacing w:line="216" w:lineRule="auto"/>
        <w:jc w:val="right"/>
        <w:textAlignment w:val="auto"/>
        <w:rPr>
          <w:rFonts w:ascii="Times New Roman" w:hAnsi="Times New Roman"/>
        </w:rPr>
      </w:pPr>
      <w:r>
        <w:rPr>
          <w:rFonts w:ascii="Times New Roman" w:hAnsi="Times New Roman" w:cs="Times New Roman"/>
          <w:sz w:val="24"/>
          <w:szCs w:val="24"/>
        </w:rPr>
        <w:t xml:space="preserve">Primavera do Leste - MT, </w:t>
      </w:r>
      <w:r>
        <w:rPr>
          <w:rFonts w:hint="default" w:ascii="Times New Roman" w:hAnsi="Times New Roman" w:cs="Times New Roman"/>
          <w:sz w:val="24"/>
          <w:szCs w:val="24"/>
          <w:lang w:val="pt-BR"/>
        </w:rPr>
        <w:t xml:space="preserve">05 </w:t>
      </w:r>
      <w:r>
        <w:rPr>
          <w:rFonts w:ascii="Times New Roman" w:hAnsi="Times New Roman" w:cs="Times New Roman"/>
          <w:sz w:val="24"/>
          <w:szCs w:val="24"/>
        </w:rPr>
        <w:t xml:space="preserve">de </w:t>
      </w:r>
      <w:r>
        <w:rPr>
          <w:rFonts w:hint="default" w:ascii="Times New Roman" w:hAnsi="Times New Roman" w:cs="Times New Roman"/>
          <w:sz w:val="24"/>
          <w:szCs w:val="24"/>
          <w:lang w:val="pt-BR"/>
        </w:rPr>
        <w:t>abril</w:t>
      </w:r>
      <w:r>
        <w:rPr>
          <w:rFonts w:ascii="Times New Roman" w:hAnsi="Times New Roman" w:cs="Times New Roman"/>
          <w:sz w:val="24"/>
          <w:szCs w:val="24"/>
        </w:rPr>
        <w:t xml:space="preserve"> de 2024.</w:t>
      </w:r>
    </w:p>
    <w:p>
      <w:pPr>
        <w:pStyle w:val="174"/>
        <w:keepNext w:val="0"/>
        <w:keepLines w:val="0"/>
        <w:pageBreakBefore w:val="0"/>
        <w:widowControl/>
        <w:overflowPunct w:val="0"/>
        <w:bidi w:val="0"/>
        <w:snapToGrid/>
        <w:spacing w:line="216" w:lineRule="auto"/>
        <w:jc w:val="center"/>
        <w:textAlignment w:val="auto"/>
        <w:rPr>
          <w:rFonts w:ascii="Times New Roman" w:hAnsi="Times New Roman" w:cs="Times New Roman"/>
          <w:b/>
          <w:sz w:val="24"/>
          <w:szCs w:val="24"/>
        </w:rPr>
      </w:pPr>
    </w:p>
    <w:p>
      <w:pPr>
        <w:pStyle w:val="174"/>
        <w:keepNext w:val="0"/>
        <w:keepLines w:val="0"/>
        <w:pageBreakBefore w:val="0"/>
        <w:widowControl/>
        <w:overflowPunct w:val="0"/>
        <w:bidi w:val="0"/>
        <w:snapToGrid/>
        <w:spacing w:line="216" w:lineRule="auto"/>
        <w:jc w:val="center"/>
        <w:textAlignment w:val="auto"/>
        <w:rPr>
          <w:rFonts w:ascii="Times New Roman" w:hAnsi="Times New Roman" w:cs="Times New Roman"/>
          <w:b/>
          <w:sz w:val="24"/>
          <w:szCs w:val="24"/>
        </w:rPr>
      </w:pPr>
    </w:p>
    <w:p>
      <w:pPr>
        <w:pStyle w:val="174"/>
        <w:keepNext w:val="0"/>
        <w:keepLines w:val="0"/>
        <w:pageBreakBefore w:val="0"/>
        <w:widowControl/>
        <w:overflowPunct w:val="0"/>
        <w:bidi w:val="0"/>
        <w:snapToGrid/>
        <w:spacing w:line="216" w:lineRule="auto"/>
        <w:jc w:val="center"/>
        <w:textAlignment w:val="auto"/>
        <w:rPr>
          <w:rFonts w:ascii="Times New Roman" w:hAnsi="Times New Roman" w:cs="Times New Roman"/>
          <w:b/>
          <w:sz w:val="24"/>
          <w:szCs w:val="24"/>
        </w:rPr>
      </w:pPr>
    </w:p>
    <w:p>
      <w:pPr>
        <w:pStyle w:val="174"/>
        <w:keepNext w:val="0"/>
        <w:keepLines w:val="0"/>
        <w:pageBreakBefore w:val="0"/>
        <w:widowControl/>
        <w:overflowPunct w:val="0"/>
        <w:bidi w:val="0"/>
        <w:snapToGrid/>
        <w:spacing w:line="216" w:lineRule="auto"/>
        <w:jc w:val="center"/>
        <w:textAlignment w:val="auto"/>
        <w:rPr>
          <w:rFonts w:ascii="Times New Roman" w:hAnsi="Times New Roman" w:cs="Times New Roman"/>
          <w:b/>
          <w:sz w:val="24"/>
          <w:szCs w:val="24"/>
        </w:rPr>
      </w:pPr>
    </w:p>
    <w:p>
      <w:pPr>
        <w:pStyle w:val="174"/>
        <w:keepNext w:val="0"/>
        <w:keepLines w:val="0"/>
        <w:pageBreakBefore w:val="0"/>
        <w:widowControl/>
        <w:overflowPunct w:val="0"/>
        <w:bidi w:val="0"/>
        <w:snapToGrid/>
        <w:spacing w:line="216" w:lineRule="auto"/>
        <w:jc w:val="center"/>
        <w:textAlignment w:val="auto"/>
        <w:rPr>
          <w:rFonts w:ascii="Times New Roman" w:hAnsi="Times New Roman" w:cs="Times New Roman"/>
          <w:b/>
          <w:sz w:val="24"/>
          <w:szCs w:val="24"/>
        </w:rPr>
      </w:pPr>
    </w:p>
    <w:p>
      <w:pPr>
        <w:pStyle w:val="174"/>
        <w:keepNext w:val="0"/>
        <w:keepLines w:val="0"/>
        <w:pageBreakBefore w:val="0"/>
        <w:widowControl/>
        <w:overflowPunct w:val="0"/>
        <w:bidi w:val="0"/>
        <w:snapToGrid/>
        <w:spacing w:line="216" w:lineRule="auto"/>
        <w:jc w:val="center"/>
        <w:textAlignment w:val="auto"/>
        <w:rPr>
          <w:rFonts w:ascii="Times New Roman" w:hAnsi="Times New Roman" w:cs="Times New Roman"/>
          <w:b/>
          <w:sz w:val="24"/>
          <w:szCs w:val="24"/>
        </w:rPr>
      </w:pPr>
    </w:p>
    <w:p>
      <w:pPr>
        <w:pStyle w:val="174"/>
        <w:keepNext w:val="0"/>
        <w:keepLines w:val="0"/>
        <w:pageBreakBefore w:val="0"/>
        <w:widowControl/>
        <w:overflowPunct w:val="0"/>
        <w:bidi w:val="0"/>
        <w:snapToGrid/>
        <w:spacing w:line="216" w:lineRule="auto"/>
        <w:jc w:val="center"/>
        <w:textAlignment w:val="auto"/>
        <w:rPr>
          <w:rFonts w:ascii="Times New Roman" w:hAnsi="Times New Roman" w:cs="Times New Roman"/>
          <w:b/>
          <w:sz w:val="24"/>
          <w:szCs w:val="24"/>
        </w:rPr>
      </w:pPr>
    </w:p>
    <w:p>
      <w:pPr>
        <w:pStyle w:val="174"/>
        <w:keepNext w:val="0"/>
        <w:keepLines w:val="0"/>
        <w:pageBreakBefore w:val="0"/>
        <w:widowControl/>
        <w:overflowPunct w:val="0"/>
        <w:bidi w:val="0"/>
        <w:snapToGrid/>
        <w:spacing w:line="216" w:lineRule="auto"/>
        <w:jc w:val="center"/>
        <w:textAlignment w:val="auto"/>
        <w:rPr>
          <w:rFonts w:ascii="Times New Roman" w:hAnsi="Times New Roman" w:cs="Times New Roman"/>
          <w:b/>
          <w:sz w:val="24"/>
          <w:szCs w:val="24"/>
        </w:rPr>
      </w:pPr>
    </w:p>
    <w:p>
      <w:pPr>
        <w:pStyle w:val="174"/>
        <w:keepNext w:val="0"/>
        <w:keepLines w:val="0"/>
        <w:pageBreakBefore w:val="0"/>
        <w:widowControl/>
        <w:overflowPunct w:val="0"/>
        <w:bidi w:val="0"/>
        <w:snapToGrid/>
        <w:spacing w:line="216" w:lineRule="auto"/>
        <w:jc w:val="center"/>
        <w:textAlignment w:val="auto"/>
        <w:rPr>
          <w:rFonts w:ascii="Times New Roman" w:hAnsi="Times New Roman" w:cs="Times New Roman"/>
          <w:b/>
          <w:sz w:val="24"/>
          <w:szCs w:val="24"/>
        </w:rPr>
      </w:pPr>
    </w:p>
    <w:p>
      <w:pPr>
        <w:pStyle w:val="174"/>
        <w:keepNext w:val="0"/>
        <w:keepLines w:val="0"/>
        <w:pageBreakBefore w:val="0"/>
        <w:widowControl/>
        <w:overflowPunct w:val="0"/>
        <w:bidi w:val="0"/>
        <w:snapToGrid/>
        <w:spacing w:line="216" w:lineRule="auto"/>
        <w:jc w:val="center"/>
        <w:textAlignment w:val="auto"/>
        <w:rPr>
          <w:rFonts w:ascii="Times New Roman" w:hAnsi="Times New Roman" w:cs="Times New Roman"/>
          <w:b/>
          <w:sz w:val="24"/>
          <w:szCs w:val="24"/>
        </w:rPr>
      </w:pPr>
    </w:p>
    <w:p>
      <w:pPr>
        <w:pStyle w:val="174"/>
        <w:keepNext w:val="0"/>
        <w:keepLines w:val="0"/>
        <w:pageBreakBefore w:val="0"/>
        <w:widowControl/>
        <w:overflowPunct w:val="0"/>
        <w:bidi w:val="0"/>
        <w:snapToGrid/>
        <w:spacing w:line="216" w:lineRule="auto"/>
        <w:jc w:val="center"/>
        <w:textAlignment w:val="auto"/>
        <w:rPr>
          <w:rFonts w:ascii="Times New Roman" w:hAnsi="Times New Roman" w:eastAsia="Times New Roman" w:cs="Times New Roman"/>
          <w:b/>
          <w:bCs/>
          <w:color w:val="212529"/>
          <w:sz w:val="24"/>
          <w:szCs w:val="24"/>
          <w:lang w:eastAsia="pt-BR"/>
        </w:rPr>
      </w:pPr>
    </w:p>
    <w:p>
      <w:pPr>
        <w:pStyle w:val="174"/>
        <w:keepNext w:val="0"/>
        <w:keepLines w:val="0"/>
        <w:pageBreakBefore w:val="0"/>
        <w:widowControl/>
        <w:overflowPunct w:val="0"/>
        <w:bidi w:val="0"/>
        <w:snapToGrid/>
        <w:spacing w:line="216" w:lineRule="auto"/>
        <w:jc w:val="center"/>
        <w:textAlignment w:val="auto"/>
        <w:rPr>
          <w:rFonts w:ascii="Times New Roman" w:hAnsi="Times New Roman"/>
        </w:rPr>
      </w:pPr>
      <w:r>
        <w:rPr>
          <w:rFonts w:ascii="Times New Roman" w:hAnsi="Times New Roman" w:eastAsia="Times New Roman" w:cs="Times New Roman"/>
          <w:b/>
          <w:bCs/>
          <w:color w:val="000000"/>
          <w:sz w:val="24"/>
          <w:szCs w:val="24"/>
          <w:lang w:eastAsia="pt-BR"/>
        </w:rPr>
        <w:t>Wender de Souza Barros</w:t>
      </w:r>
    </w:p>
    <w:p>
      <w:pPr>
        <w:pStyle w:val="174"/>
        <w:keepNext w:val="0"/>
        <w:keepLines w:val="0"/>
        <w:pageBreakBefore w:val="0"/>
        <w:widowControl/>
        <w:overflowPunct w:val="0"/>
        <w:bidi w:val="0"/>
        <w:snapToGrid/>
        <w:spacing w:line="216" w:lineRule="auto"/>
        <w:jc w:val="center"/>
        <w:textAlignment w:val="auto"/>
        <w:rPr>
          <w:rFonts w:ascii="Times New Roman" w:hAnsi="Times New Roman"/>
        </w:rPr>
      </w:pPr>
      <w:r>
        <w:rPr>
          <w:rFonts w:ascii="Times New Roman" w:hAnsi="Times New Roman" w:eastAsia="Times New Roman" w:cs="Times New Roman"/>
          <w:color w:val="000000"/>
          <w:sz w:val="24"/>
          <w:szCs w:val="24"/>
          <w:lang w:val="en-US" w:eastAsia="pt-BR"/>
        </w:rPr>
        <w:t>Agente de Contratação</w:t>
      </w:r>
    </w:p>
    <w:p>
      <w:pPr>
        <w:pStyle w:val="174"/>
        <w:keepNext w:val="0"/>
        <w:keepLines w:val="0"/>
        <w:pageBreakBefore w:val="0"/>
        <w:widowControl/>
        <w:overflowPunct w:val="0"/>
        <w:bidi w:val="0"/>
        <w:snapToGrid/>
        <w:spacing w:line="216" w:lineRule="auto"/>
        <w:jc w:val="center"/>
        <w:textAlignment w:val="auto"/>
        <w:rPr>
          <w:rFonts w:ascii="Times New Roman" w:hAnsi="Times New Roman"/>
        </w:rPr>
      </w:pPr>
      <w:r>
        <w:rPr>
          <w:rFonts w:ascii="Times New Roman" w:hAnsi="Times New Roman" w:eastAsia="Times New Roman" w:cs="Times New Roman"/>
          <w:color w:val="000000"/>
          <w:sz w:val="24"/>
          <w:szCs w:val="24"/>
          <w:lang w:eastAsia="pt-BR"/>
        </w:rPr>
        <w:t xml:space="preserve">Portaria nº </w:t>
      </w:r>
      <w:r>
        <w:rPr>
          <w:rFonts w:hint="default" w:ascii="Times New Roman" w:hAnsi="Times New Roman" w:eastAsia="Times New Roman" w:cs="Times New Roman"/>
          <w:color w:val="000000"/>
          <w:sz w:val="24"/>
          <w:szCs w:val="24"/>
          <w:lang w:val="en-US" w:eastAsia="pt-BR"/>
        </w:rPr>
        <w:t>85</w:t>
      </w:r>
      <w:r>
        <w:rPr>
          <w:rFonts w:ascii="Times New Roman" w:hAnsi="Times New Roman" w:eastAsia="Times New Roman" w:cs="Times New Roman"/>
          <w:color w:val="000000"/>
          <w:sz w:val="24"/>
          <w:szCs w:val="24"/>
          <w:lang w:val="en-US" w:eastAsia="pt-BR"/>
        </w:rPr>
        <w:t>/2024</w:t>
      </w:r>
    </w:p>
    <w:p>
      <w:pPr>
        <w:pStyle w:val="174"/>
        <w:widowControl/>
        <w:overflowPunct w:val="0"/>
        <w:bidi w:val="0"/>
        <w:snapToGrid/>
        <w:spacing w:line="216" w:lineRule="auto"/>
        <w:jc w:val="center"/>
        <w:textAlignment w:val="auto"/>
        <w:rPr>
          <w:rFonts w:ascii="Times New Roman" w:hAnsi="Times New Roman" w:eastAsia="Times New Roman" w:cs="Times New Roman"/>
          <w:color w:val="000000"/>
          <w:sz w:val="24"/>
          <w:szCs w:val="24"/>
          <w:lang w:val="en-US" w:eastAsia="pt-BR"/>
        </w:rPr>
      </w:pPr>
    </w:p>
    <w:p>
      <w:pPr>
        <w:pStyle w:val="174"/>
        <w:widowControl/>
        <w:overflowPunct w:val="0"/>
        <w:bidi w:val="0"/>
        <w:snapToGrid/>
        <w:spacing w:line="216" w:lineRule="auto"/>
        <w:jc w:val="center"/>
        <w:textAlignment w:val="auto"/>
        <w:rPr>
          <w:rFonts w:ascii="Times New Roman" w:hAnsi="Times New Roman" w:eastAsia="Times New Roman" w:cs="Times New Roman"/>
          <w:color w:val="000000"/>
          <w:sz w:val="24"/>
          <w:szCs w:val="24"/>
          <w:lang w:val="en-US" w:eastAsia="pt-BR"/>
        </w:rPr>
      </w:pPr>
    </w:p>
    <w:p>
      <w:pPr>
        <w:pStyle w:val="174"/>
        <w:widowControl/>
        <w:overflowPunct w:val="0"/>
        <w:bidi w:val="0"/>
        <w:snapToGrid/>
        <w:spacing w:line="216" w:lineRule="auto"/>
        <w:jc w:val="center"/>
        <w:textAlignment w:val="auto"/>
        <w:rPr>
          <w:rFonts w:ascii="Times New Roman" w:hAnsi="Times New Roman" w:eastAsia="Times New Roman" w:cs="Times New Roman"/>
          <w:color w:val="000000"/>
          <w:sz w:val="24"/>
          <w:szCs w:val="24"/>
          <w:lang w:val="en-US" w:eastAsia="pt-BR"/>
        </w:rPr>
      </w:pPr>
    </w:p>
    <w:p>
      <w:pPr>
        <w:pStyle w:val="174"/>
        <w:widowControl/>
        <w:overflowPunct w:val="0"/>
        <w:bidi w:val="0"/>
        <w:snapToGrid/>
        <w:spacing w:line="216" w:lineRule="auto"/>
        <w:jc w:val="center"/>
        <w:textAlignment w:val="auto"/>
        <w:rPr>
          <w:rFonts w:ascii="Times New Roman" w:hAnsi="Times New Roman" w:eastAsia="Times New Roman" w:cs="Times New Roman"/>
          <w:color w:val="000000"/>
          <w:sz w:val="24"/>
          <w:szCs w:val="24"/>
          <w:lang w:val="en-US" w:eastAsia="pt-BR"/>
        </w:rPr>
      </w:pPr>
    </w:p>
    <w:p>
      <w:pPr>
        <w:pStyle w:val="174"/>
        <w:widowControl/>
        <w:overflowPunct w:val="0"/>
        <w:bidi w:val="0"/>
        <w:snapToGrid/>
        <w:spacing w:line="216" w:lineRule="auto"/>
        <w:jc w:val="center"/>
        <w:textAlignment w:val="auto"/>
        <w:rPr>
          <w:rFonts w:ascii="Times New Roman" w:hAnsi="Times New Roman" w:eastAsia="Times New Roman" w:cs="Times New Roman"/>
          <w:color w:val="000000"/>
          <w:sz w:val="24"/>
          <w:szCs w:val="24"/>
          <w:lang w:val="en-US" w:eastAsia="pt-BR"/>
        </w:rPr>
      </w:pPr>
    </w:p>
    <w:p>
      <w:pPr>
        <w:pStyle w:val="174"/>
        <w:widowControl/>
        <w:overflowPunct w:val="0"/>
        <w:bidi w:val="0"/>
        <w:snapToGrid/>
        <w:spacing w:line="216" w:lineRule="auto"/>
        <w:jc w:val="center"/>
        <w:textAlignment w:val="auto"/>
        <w:rPr>
          <w:rFonts w:ascii="Times New Roman" w:hAnsi="Times New Roman" w:eastAsia="Times New Roman" w:cs="Times New Roman"/>
          <w:color w:val="000000"/>
          <w:sz w:val="24"/>
          <w:szCs w:val="24"/>
          <w:lang w:val="en-US" w:eastAsia="pt-BR"/>
        </w:rPr>
      </w:pPr>
    </w:p>
    <w:p>
      <w:pPr>
        <w:pStyle w:val="174"/>
        <w:widowControl/>
        <w:overflowPunct w:val="0"/>
        <w:bidi w:val="0"/>
        <w:snapToGrid/>
        <w:spacing w:line="216" w:lineRule="auto"/>
        <w:jc w:val="center"/>
        <w:textAlignment w:val="auto"/>
        <w:rPr>
          <w:rFonts w:ascii="Times New Roman" w:hAnsi="Times New Roman" w:eastAsia="Times New Roman" w:cs="Times New Roman"/>
          <w:color w:val="000000"/>
          <w:sz w:val="24"/>
          <w:szCs w:val="24"/>
          <w:lang w:val="en-US" w:eastAsia="pt-BR"/>
        </w:rPr>
      </w:pPr>
    </w:p>
    <w:p>
      <w:pPr>
        <w:pStyle w:val="174"/>
        <w:widowControl/>
        <w:overflowPunct w:val="0"/>
        <w:bidi w:val="0"/>
        <w:snapToGrid/>
        <w:spacing w:line="216" w:lineRule="auto"/>
        <w:jc w:val="center"/>
        <w:textAlignment w:val="auto"/>
        <w:rPr>
          <w:rFonts w:ascii="Times New Roman" w:hAnsi="Times New Roman" w:eastAsia="Times New Roman" w:cs="Times New Roman"/>
          <w:color w:val="000000"/>
          <w:sz w:val="24"/>
          <w:szCs w:val="24"/>
          <w:lang w:val="en-US" w:eastAsia="pt-BR"/>
        </w:rPr>
      </w:pPr>
    </w:p>
    <w:p>
      <w:pPr>
        <w:pStyle w:val="174"/>
        <w:widowControl/>
        <w:overflowPunct w:val="0"/>
        <w:bidi w:val="0"/>
        <w:snapToGrid/>
        <w:spacing w:line="216" w:lineRule="auto"/>
        <w:jc w:val="center"/>
        <w:textAlignment w:val="auto"/>
        <w:rPr>
          <w:rFonts w:ascii="Times New Roman" w:hAnsi="Times New Roman" w:eastAsia="Times New Roman" w:cs="Times New Roman"/>
          <w:color w:val="000000"/>
          <w:sz w:val="24"/>
          <w:szCs w:val="24"/>
          <w:lang w:val="en-US" w:eastAsia="pt-BR"/>
        </w:rPr>
      </w:pPr>
    </w:p>
    <w:p>
      <w:pPr>
        <w:pStyle w:val="174"/>
        <w:widowControl/>
        <w:overflowPunct w:val="0"/>
        <w:bidi w:val="0"/>
        <w:snapToGrid/>
        <w:spacing w:line="216" w:lineRule="auto"/>
        <w:jc w:val="center"/>
        <w:textAlignment w:val="auto"/>
        <w:rPr>
          <w:rFonts w:ascii="Times New Roman" w:hAnsi="Times New Roman" w:eastAsia="Times New Roman" w:cs="Times New Roman"/>
          <w:color w:val="000000"/>
          <w:sz w:val="24"/>
          <w:szCs w:val="24"/>
          <w:lang w:val="en-US" w:eastAsia="pt-BR"/>
        </w:rPr>
      </w:pPr>
    </w:p>
    <w:p>
      <w:pPr>
        <w:pStyle w:val="174"/>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pPr>
        <w:pStyle w:val="174"/>
        <w:widowControl/>
        <w:overflowPunct w:val="0"/>
        <w:bidi w:val="0"/>
        <w:snapToGrid/>
        <w:spacing w:line="216" w:lineRule="auto"/>
        <w:jc w:val="both"/>
        <w:textAlignment w:val="auto"/>
        <w:rPr>
          <w:rFonts w:ascii="Times New Roman" w:hAnsi="Times New Roman" w:cs="Times New Roman"/>
          <w:color w:val="000000"/>
          <w:sz w:val="24"/>
          <w:szCs w:val="24"/>
        </w:rPr>
      </w:pPr>
    </w:p>
    <w:p>
      <w:pPr>
        <w:pStyle w:val="174"/>
        <w:widowControl/>
        <w:overflowPunct w:val="0"/>
        <w:bidi w:val="0"/>
        <w:snapToGrid/>
        <w:spacing w:line="216" w:lineRule="auto"/>
        <w:jc w:val="center"/>
        <w:textAlignment w:val="auto"/>
        <w:rPr>
          <w:rFonts w:ascii="Times New Roman" w:hAnsi="Times New Roman"/>
        </w:rPr>
      </w:pPr>
      <w:r>
        <w:rPr>
          <w:rFonts w:ascii="Times New Roman" w:hAnsi="Times New Roman" w:cs="Times New Roman"/>
          <w:b/>
          <w:sz w:val="24"/>
          <w:szCs w:val="24"/>
        </w:rPr>
        <w:t>Valdecir Alventino da Silva</w:t>
      </w:r>
    </w:p>
    <w:p>
      <w:pPr>
        <w:pStyle w:val="174"/>
        <w:keepNext w:val="0"/>
        <w:keepLines w:val="0"/>
        <w:pageBreakBefore w:val="0"/>
        <w:widowControl/>
        <w:overflowPunct w:val="0"/>
        <w:bidi w:val="0"/>
        <w:snapToGrid/>
        <w:spacing w:line="216" w:lineRule="auto"/>
        <w:jc w:val="center"/>
        <w:textAlignment w:val="auto"/>
        <w:rPr>
          <w:rFonts w:ascii="Times New Roman" w:hAnsi="Times New Roman"/>
        </w:rPr>
      </w:pPr>
      <w:r>
        <w:rPr>
          <w:rFonts w:ascii="Times New Roman" w:hAnsi="Times New Roman" w:cs="Times New Roman"/>
          <w:sz w:val="24"/>
          <w:szCs w:val="24"/>
        </w:rPr>
        <w:t>Vereador Presidente</w:t>
      </w:r>
      <w:bookmarkStart w:id="58" w:name="_ANEXO_I_-"/>
      <w:bookmarkEnd w:id="58"/>
      <w:r>
        <w:br w:type="page"/>
      </w:r>
    </w:p>
    <w:p>
      <w:pPr>
        <w:pStyle w:val="2"/>
        <w:keepNext/>
        <w:numPr>
          <w:ilvl w:val="0"/>
          <w:numId w:val="0"/>
        </w:numPr>
        <w:spacing w:before="0" w:after="120"/>
        <w:ind w:left="0" w:firstLine="0"/>
        <w:jc w:val="center"/>
        <w:rPr>
          <w:rFonts w:ascii="Times New Roman" w:hAnsi="Times New Roman"/>
        </w:rPr>
      </w:pPr>
      <w:bookmarkStart w:id="59" w:name="_ANEXO_I_-_1"/>
      <w:bookmarkEnd w:id="59"/>
      <w:bookmarkStart w:id="60" w:name="_Toc149517466"/>
      <w:r>
        <w:t>ANEXO I - TERMO DE REFERÊNCIA</w:t>
      </w:r>
      <w:bookmarkEnd w:id="60"/>
    </w:p>
    <w:p>
      <w:pPr>
        <w:jc w:val="both"/>
        <w:rPr>
          <w:rFonts w:ascii="Times New Roman" w:hAnsi="Times New Roman"/>
          <w:sz w:val="22"/>
          <w:szCs w:val="22"/>
        </w:rPr>
      </w:pPr>
    </w:p>
    <w:p>
      <w:pPr>
        <w:jc w:val="center"/>
      </w:pPr>
      <w:r>
        <w:rPr>
          <w:rFonts w:ascii="Times New Roman" w:hAnsi="Times New Roman" w:cs="Times New Roman"/>
          <w:b/>
          <w:bCs/>
          <w:sz w:val="24"/>
          <w:szCs w:val="24"/>
        </w:rPr>
        <w:t>TERMO DE REFERÊNCIA 018/2024</w:t>
      </w:r>
    </w:p>
    <w:p>
      <w:pPr>
        <w:rPr>
          <w:rFonts w:ascii="Times New Roman" w:hAnsi="Times New Roman"/>
        </w:rPr>
      </w:pPr>
    </w:p>
    <w:p>
      <w:pPr>
        <w:pStyle w:val="60"/>
        <w:numPr>
          <w:ilvl w:val="0"/>
          <w:numId w:val="11"/>
        </w:numPr>
        <w:ind w:left="426" w:hanging="426"/>
        <w:jc w:val="both"/>
        <w:rPr>
          <w:rFonts w:ascii="Times New Roman" w:hAnsi="Times New Roman"/>
        </w:rPr>
      </w:pPr>
      <w:r>
        <w:rPr>
          <w:rFonts w:ascii="Times New Roman" w:hAnsi="Times New Roman" w:cs="Times New Roman"/>
          <w:b/>
          <w:bCs/>
          <w:sz w:val="22"/>
          <w:szCs w:val="22"/>
        </w:rPr>
        <w:t>DO OBJETO:</w:t>
      </w:r>
    </w:p>
    <w:p>
      <w:pPr>
        <w:pStyle w:val="60"/>
        <w:numPr>
          <w:ilvl w:val="1"/>
          <w:numId w:val="11"/>
        </w:numPr>
        <w:ind w:left="426" w:hanging="426"/>
        <w:jc w:val="both"/>
        <w:rPr>
          <w:rFonts w:ascii="Times New Roman" w:hAnsi="Times New Roman"/>
        </w:rPr>
      </w:pPr>
      <w:r>
        <w:rPr>
          <w:rFonts w:ascii="Times New Roman" w:hAnsi="Times New Roman" w:cs="Times New Roman"/>
          <w:sz w:val="22"/>
          <w:szCs w:val="22"/>
        </w:rPr>
        <w:t xml:space="preserve">O presente termo de referência tem por objeto </w:t>
      </w:r>
      <w:r>
        <w:rPr>
          <w:rFonts w:hint="default" w:ascii="Times New Roman" w:hAnsi="Times New Roman"/>
          <w:b/>
          <w:bCs/>
          <w:sz w:val="22"/>
          <w:szCs w:val="22"/>
        </w:rPr>
        <w:t>Registro de Preço para futura e eventual contratação de empresa especializada em fornecimento de sistema vídeo com instalação a serem disponibilizados na Câmara Municipal de Primavera do Leste-MT</w:t>
      </w:r>
      <w:r>
        <w:rPr>
          <w:rFonts w:ascii="Times New Roman" w:hAnsi="Times New Roman" w:cs="Times New Roman"/>
          <w:sz w:val="22"/>
          <w:szCs w:val="22"/>
        </w:rPr>
        <w:t xml:space="preserve">, em conformidade com as condições apresentadas neste </w:t>
      </w:r>
      <w:r>
        <w:rPr>
          <w:rFonts w:ascii="Times New Roman" w:hAnsi="Times New Roman" w:cs="Times New Roman"/>
          <w:b/>
          <w:bCs/>
          <w:sz w:val="22"/>
          <w:szCs w:val="22"/>
        </w:rPr>
        <w:t>TERMO DE REFERÊNCIA.</w:t>
      </w:r>
    </w:p>
    <w:p>
      <w:pPr>
        <w:pStyle w:val="60"/>
        <w:ind w:left="426" w:hanging="426"/>
        <w:jc w:val="both"/>
        <w:rPr>
          <w:rFonts w:ascii="Times New Roman" w:hAnsi="Times New Roman" w:cs="Times New Roman"/>
          <w:sz w:val="22"/>
          <w:szCs w:val="22"/>
        </w:rPr>
      </w:pPr>
    </w:p>
    <w:p>
      <w:pPr>
        <w:pStyle w:val="60"/>
        <w:numPr>
          <w:ilvl w:val="0"/>
          <w:numId w:val="11"/>
        </w:numPr>
        <w:ind w:left="426" w:hanging="426"/>
        <w:jc w:val="both"/>
        <w:rPr>
          <w:rFonts w:ascii="Times New Roman" w:hAnsi="Times New Roman"/>
        </w:rPr>
      </w:pPr>
      <w:r>
        <w:rPr>
          <w:rFonts w:ascii="Times New Roman" w:hAnsi="Times New Roman" w:cs="Times New Roman"/>
          <w:b/>
          <w:bCs/>
          <w:sz w:val="22"/>
          <w:szCs w:val="22"/>
        </w:rPr>
        <w:t>JUSTIFICATIVA:</w:t>
      </w:r>
    </w:p>
    <w:p>
      <w:pPr>
        <w:pStyle w:val="60"/>
        <w:numPr>
          <w:ilvl w:val="1"/>
          <w:numId w:val="11"/>
        </w:numPr>
        <w:ind w:left="426" w:hanging="426"/>
        <w:jc w:val="both"/>
        <w:rPr>
          <w:rFonts w:ascii="Times New Roman" w:hAnsi="Times New Roman"/>
        </w:rPr>
      </w:pPr>
      <w:r>
        <w:rPr>
          <w:rFonts w:ascii="Times New Roman" w:hAnsi="Times New Roman" w:cs="Times New Roman"/>
          <w:sz w:val="22"/>
          <w:szCs w:val="22"/>
        </w:rPr>
        <w:t>Vive-se atualmente em constante estado de alerta com relação a segurança, seja pessoal ou patrimonial. Essa preocupação se potencializa na Administração Pública, em virtude do dever que recai sobre o gestor ou administrador público de zelar pelo erário e de possibilitar um mínimo de segurança aos servidores e ao patrimônio público uma vez que muitas informações e objetos de importância consideráveis para o município encontram-se neste local. Tal problema ganha especial magnitude em virtude da fragilidade da segurança atual desta casa, seja porque inexiste pessoal suficiente, seja porque as instalações físicas possuem vários pontos expostos que carecem de atenção ostensiva, seja porque a segurança patrimonial através de vigilantes sempre padece de vício de regularidade.</w:t>
      </w:r>
    </w:p>
    <w:p>
      <w:pPr>
        <w:pStyle w:val="60"/>
        <w:numPr>
          <w:ilvl w:val="1"/>
          <w:numId w:val="11"/>
        </w:numPr>
        <w:ind w:left="426" w:hanging="426"/>
        <w:jc w:val="both"/>
        <w:rPr>
          <w:rFonts w:ascii="Times New Roman" w:hAnsi="Times New Roman"/>
        </w:rPr>
      </w:pPr>
      <w:r>
        <w:rPr>
          <w:rFonts w:ascii="Times New Roman" w:hAnsi="Times New Roman" w:cs="Times New Roman"/>
          <w:sz w:val="22"/>
          <w:szCs w:val="22"/>
        </w:rPr>
        <w:t xml:space="preserve"> O efetivo e eficiente monitoramento através de ferramentas de tecnologia é comprovado, atestado por diversos crimes que são solucionados utilizando imagens e outros recursos para identificação de seus autores.</w:t>
      </w:r>
    </w:p>
    <w:p>
      <w:pPr>
        <w:pStyle w:val="60"/>
        <w:numPr>
          <w:ilvl w:val="1"/>
          <w:numId w:val="11"/>
        </w:numPr>
        <w:ind w:left="426" w:hanging="426"/>
        <w:jc w:val="both"/>
        <w:rPr>
          <w:rFonts w:ascii="Times New Roman" w:hAnsi="Times New Roman"/>
        </w:rPr>
      </w:pPr>
      <w:r>
        <w:rPr>
          <w:rFonts w:ascii="Times New Roman" w:hAnsi="Times New Roman" w:cs="Times New Roman"/>
          <w:sz w:val="22"/>
          <w:szCs w:val="22"/>
        </w:rPr>
        <w:t>A necessidade da composição deste objeto reside na necessidade de garantir a segurança dos bens imóveis das unidades da Câmara Municipal de Primavera do Leste-MT e o seu novo anexo.</w:t>
      </w:r>
    </w:p>
    <w:p>
      <w:pPr>
        <w:pStyle w:val="60"/>
        <w:ind w:left="426" w:hanging="426"/>
        <w:jc w:val="both"/>
        <w:rPr>
          <w:rFonts w:ascii="Times New Roman" w:hAnsi="Times New Roman" w:cs="Times New Roman"/>
          <w:sz w:val="22"/>
          <w:szCs w:val="22"/>
        </w:rPr>
      </w:pPr>
    </w:p>
    <w:p>
      <w:pPr>
        <w:pStyle w:val="60"/>
        <w:numPr>
          <w:ilvl w:val="0"/>
          <w:numId w:val="11"/>
        </w:numPr>
        <w:ind w:left="426" w:hanging="426"/>
        <w:jc w:val="both"/>
        <w:rPr>
          <w:rFonts w:ascii="Times New Roman" w:hAnsi="Times New Roman"/>
        </w:rPr>
      </w:pPr>
      <w:r>
        <w:rPr>
          <w:rFonts w:ascii="Times New Roman" w:hAnsi="Times New Roman" w:cs="Times New Roman"/>
          <w:b/>
          <w:bCs/>
          <w:sz w:val="22"/>
          <w:szCs w:val="22"/>
        </w:rPr>
        <w:t>DA ESPECIFICAÇÃO:</w:t>
      </w:r>
    </w:p>
    <w:tbl>
      <w:tblPr>
        <w:tblStyle w:val="9"/>
        <w:tblW w:w="8625" w:type="dxa"/>
        <w:tblInd w:w="-44" w:type="dxa"/>
        <w:tblLayout w:type="fixed"/>
        <w:tblCellMar>
          <w:top w:w="0" w:type="dxa"/>
          <w:left w:w="7" w:type="dxa"/>
          <w:bottom w:w="0" w:type="dxa"/>
          <w:right w:w="7" w:type="dxa"/>
        </w:tblCellMar>
      </w:tblPr>
      <w:tblGrid>
        <w:gridCol w:w="630"/>
        <w:gridCol w:w="3060"/>
        <w:gridCol w:w="1065"/>
        <w:gridCol w:w="525"/>
        <w:gridCol w:w="832"/>
        <w:gridCol w:w="1208"/>
        <w:gridCol w:w="1304"/>
      </w:tblGrid>
      <w:tr>
        <w:tblPrEx>
          <w:tblCellMar>
            <w:top w:w="0" w:type="dxa"/>
            <w:left w:w="7" w:type="dxa"/>
            <w:bottom w:w="0" w:type="dxa"/>
            <w:right w:w="7" w:type="dxa"/>
          </w:tblCellMar>
        </w:tblPrEx>
        <w:trPr>
          <w:trHeight w:val="450" w:hRule="atLeast"/>
        </w:trPr>
        <w:tc>
          <w:tcPr>
            <w:tcW w:w="7320" w:type="dxa"/>
            <w:gridSpan w:val="6"/>
            <w:tcBorders>
              <w:top w:val="single" w:color="000000" w:sz="4" w:space="0"/>
              <w:left w:val="single" w:color="000000" w:sz="4" w:space="0"/>
              <w:bottom w:val="single" w:color="000000" w:sz="4" w:space="0"/>
            </w:tcBorders>
            <w:shd w:val="clear" w:color="auto" w:fill="B2B2B2"/>
            <w:vAlign w:val="center"/>
          </w:tcPr>
          <w:p>
            <w:pPr>
              <w:pStyle w:val="173"/>
              <w:spacing w:before="226" w:after="0"/>
              <w:ind w:left="73" w:right="59"/>
              <w:jc w:val="center"/>
              <w:rPr>
                <w:rFonts w:ascii="Times New Roman" w:hAnsi="Times New Roman"/>
              </w:rPr>
            </w:pPr>
            <w:r>
              <w:rPr>
                <w:rFonts w:ascii="Times New Roman" w:hAnsi="Times New Roman"/>
                <w:b/>
                <w:bCs/>
                <w:sz w:val="18"/>
                <w:szCs w:val="18"/>
              </w:rPr>
              <w:t>LOTE 01</w:t>
            </w:r>
          </w:p>
        </w:tc>
        <w:tc>
          <w:tcPr>
            <w:tcW w:w="1304" w:type="dxa"/>
            <w:tcBorders>
              <w:top w:val="single" w:color="000000" w:sz="4" w:space="0"/>
              <w:left w:val="single" w:color="000000" w:sz="4" w:space="0"/>
              <w:bottom w:val="single" w:color="000000" w:sz="4" w:space="0"/>
              <w:right w:val="single" w:color="000000" w:sz="4" w:space="0"/>
            </w:tcBorders>
            <w:shd w:val="clear" w:color="auto" w:fill="B2B2B2"/>
            <w:vAlign w:val="center"/>
          </w:tcPr>
          <w:p>
            <w:pPr>
              <w:pStyle w:val="173"/>
              <w:spacing w:before="226" w:after="0"/>
              <w:ind w:left="73" w:right="59"/>
              <w:jc w:val="center"/>
              <w:rPr>
                <w:rFonts w:ascii="Times New Roman" w:hAnsi="Times New Roman"/>
                <w:b/>
                <w:bCs/>
                <w:sz w:val="18"/>
                <w:szCs w:val="18"/>
              </w:rPr>
            </w:pPr>
          </w:p>
        </w:tc>
      </w:tr>
      <w:tr>
        <w:tblPrEx>
          <w:tblCellMar>
            <w:top w:w="0" w:type="dxa"/>
            <w:left w:w="7" w:type="dxa"/>
            <w:bottom w:w="0" w:type="dxa"/>
            <w:right w:w="7" w:type="dxa"/>
          </w:tblCellMar>
        </w:tblPrEx>
        <w:trPr>
          <w:trHeight w:val="1030" w:hRule="atLeast"/>
        </w:trPr>
        <w:tc>
          <w:tcPr>
            <w:tcW w:w="630" w:type="dxa"/>
            <w:tcBorders>
              <w:left w:val="single" w:color="000000" w:sz="4" w:space="0"/>
              <w:bottom w:val="single" w:color="000000" w:sz="4" w:space="0"/>
              <w:right w:val="single" w:color="000000" w:sz="4" w:space="0"/>
            </w:tcBorders>
            <w:shd w:val="clear" w:color="auto" w:fill="B2B2B2"/>
            <w:vAlign w:val="center"/>
          </w:tcPr>
          <w:p>
            <w:pPr>
              <w:pStyle w:val="173"/>
              <w:spacing w:before="226" w:after="0"/>
              <w:ind w:left="73" w:right="59"/>
              <w:jc w:val="left"/>
              <w:rPr>
                <w:rFonts w:ascii="Times New Roman" w:hAnsi="Times New Roman"/>
              </w:rPr>
            </w:pPr>
            <w:r>
              <w:rPr>
                <w:rFonts w:ascii="Times New Roman" w:hAnsi="Times New Roman"/>
                <w:b/>
                <w:spacing w:val="-5"/>
                <w:kern w:val="0"/>
                <w:sz w:val="14"/>
                <w:szCs w:val="14"/>
                <w:lang w:val="pt-BR" w:eastAsia="en-US" w:bidi="ar-SA"/>
              </w:rPr>
              <w:t>ITEM</w:t>
            </w:r>
          </w:p>
        </w:tc>
        <w:tc>
          <w:tcPr>
            <w:tcW w:w="3060" w:type="dxa"/>
            <w:tcBorders>
              <w:left w:val="single" w:color="000000" w:sz="4" w:space="0"/>
              <w:bottom w:val="single" w:color="000000" w:sz="4" w:space="0"/>
              <w:right w:val="single" w:color="000000" w:sz="4" w:space="0"/>
            </w:tcBorders>
            <w:shd w:val="clear" w:color="auto" w:fill="B2B2B2"/>
            <w:vAlign w:val="center"/>
          </w:tcPr>
          <w:p>
            <w:pPr>
              <w:pStyle w:val="173"/>
              <w:spacing w:before="0" w:after="0"/>
              <w:jc w:val="left"/>
              <w:rPr>
                <w:rFonts w:ascii="Times New Roman" w:hAnsi="Times New Roman"/>
                <w:kern w:val="0"/>
                <w:sz w:val="14"/>
                <w:szCs w:val="14"/>
                <w:lang w:val="pt-BR" w:eastAsia="en-US" w:bidi="ar-SA"/>
              </w:rPr>
            </w:pPr>
          </w:p>
          <w:p>
            <w:pPr>
              <w:pStyle w:val="173"/>
              <w:spacing w:before="113" w:after="0"/>
              <w:jc w:val="left"/>
              <w:rPr>
                <w:rFonts w:ascii="Times New Roman" w:hAnsi="Times New Roman"/>
              </w:rPr>
            </w:pPr>
            <w:r>
              <w:rPr>
                <w:rFonts w:ascii="Times New Roman" w:hAnsi="Times New Roman"/>
                <w:b/>
                <w:spacing w:val="-5"/>
                <w:kern w:val="0"/>
                <w:sz w:val="14"/>
                <w:szCs w:val="14"/>
                <w:lang w:val="pt-BR" w:eastAsia="en-US" w:bidi="ar-SA"/>
              </w:rPr>
              <w:t xml:space="preserve"> DESCRIÇÃO DO BEM</w:t>
            </w:r>
          </w:p>
        </w:tc>
        <w:tc>
          <w:tcPr>
            <w:tcW w:w="1065" w:type="dxa"/>
            <w:tcBorders>
              <w:left w:val="single" w:color="000000" w:sz="4" w:space="0"/>
              <w:bottom w:val="single" w:color="000000" w:sz="4" w:space="0"/>
              <w:right w:val="single" w:color="000000" w:sz="4" w:space="0"/>
            </w:tcBorders>
            <w:shd w:val="clear" w:color="auto" w:fill="B2B2B2"/>
            <w:vAlign w:val="center"/>
          </w:tcPr>
          <w:p>
            <w:pPr>
              <w:pStyle w:val="173"/>
              <w:spacing w:before="226" w:after="0" w:line="264" w:lineRule="auto"/>
              <w:ind w:left="214" w:right="195" w:firstLine="81"/>
              <w:jc w:val="center"/>
              <w:rPr>
                <w:rFonts w:ascii="Times New Roman" w:hAnsi="Times New Roman"/>
              </w:rPr>
            </w:pPr>
            <w:r>
              <w:rPr>
                <w:rFonts w:ascii="Times New Roman" w:hAnsi="Times New Roman"/>
                <w:b/>
                <w:spacing w:val="-2"/>
                <w:kern w:val="0"/>
                <w:sz w:val="14"/>
                <w:szCs w:val="14"/>
                <w:lang w:val="pt-BR" w:eastAsia="en-US" w:bidi="ar-SA"/>
              </w:rPr>
              <w:t>CÓD/CATMAT</w:t>
            </w:r>
          </w:p>
        </w:tc>
        <w:tc>
          <w:tcPr>
            <w:tcW w:w="525" w:type="dxa"/>
            <w:tcBorders>
              <w:left w:val="single" w:color="000000" w:sz="4" w:space="0"/>
              <w:bottom w:val="single" w:color="000000" w:sz="4" w:space="0"/>
              <w:right w:val="single" w:color="000000" w:sz="4" w:space="0"/>
            </w:tcBorders>
            <w:shd w:val="clear" w:color="auto" w:fill="B2B2B2"/>
            <w:vAlign w:val="center"/>
          </w:tcPr>
          <w:p>
            <w:pPr>
              <w:pStyle w:val="173"/>
              <w:spacing w:before="0" w:after="0"/>
              <w:ind w:left="13"/>
              <w:jc w:val="left"/>
              <w:rPr>
                <w:rFonts w:ascii="Times New Roman" w:hAnsi="Times New Roman"/>
              </w:rPr>
            </w:pPr>
            <w:r>
              <w:rPr>
                <w:rFonts w:ascii="Times New Roman" w:hAnsi="Times New Roman"/>
                <w:b/>
                <w:spacing w:val="-4"/>
                <w:kern w:val="0"/>
                <w:sz w:val="14"/>
                <w:szCs w:val="14"/>
                <w:lang w:val="pt-BR" w:eastAsia="en-US" w:bidi="ar-SA"/>
              </w:rPr>
              <w:t>QNTD</w:t>
            </w:r>
          </w:p>
        </w:tc>
        <w:tc>
          <w:tcPr>
            <w:tcW w:w="832" w:type="dxa"/>
            <w:tcBorders>
              <w:left w:val="single" w:color="000000" w:sz="4" w:space="0"/>
              <w:bottom w:val="single" w:color="000000" w:sz="4" w:space="0"/>
            </w:tcBorders>
            <w:shd w:val="clear" w:color="auto" w:fill="B2B2B2"/>
            <w:vAlign w:val="center"/>
          </w:tcPr>
          <w:p>
            <w:pPr>
              <w:pStyle w:val="173"/>
              <w:spacing w:before="0" w:after="0" w:line="264" w:lineRule="auto"/>
              <w:ind w:left="198" w:right="-15" w:hanging="141"/>
              <w:jc w:val="center"/>
              <w:rPr>
                <w:rFonts w:ascii="Times New Roman" w:hAnsi="Times New Roman"/>
              </w:rPr>
            </w:pPr>
            <w:r>
              <w:rPr>
                <w:rFonts w:ascii="Times New Roman" w:hAnsi="Times New Roman"/>
                <w:b/>
                <w:spacing w:val="-2"/>
                <w:kern w:val="0"/>
                <w:sz w:val="14"/>
                <w:szCs w:val="14"/>
                <w:lang w:val="pt-BR" w:eastAsia="en-US" w:bidi="ar-SA"/>
              </w:rPr>
              <w:t>MÉTRICA OU UNIDADE</w:t>
            </w:r>
          </w:p>
        </w:tc>
        <w:tc>
          <w:tcPr>
            <w:tcW w:w="1208" w:type="dxa"/>
            <w:tcBorders>
              <w:left w:val="single" w:color="000000" w:sz="4" w:space="0"/>
              <w:bottom w:val="single" w:color="000000" w:sz="4" w:space="0"/>
            </w:tcBorders>
            <w:shd w:val="clear" w:color="auto" w:fill="B2B2B2"/>
            <w:vAlign w:val="center"/>
          </w:tcPr>
          <w:p>
            <w:pPr>
              <w:pStyle w:val="173"/>
              <w:spacing w:before="0" w:after="0" w:line="264" w:lineRule="auto"/>
              <w:ind w:left="198" w:right="-15" w:hanging="141"/>
              <w:jc w:val="center"/>
              <w:rPr>
                <w:rFonts w:ascii="Times New Roman" w:hAnsi="Times New Roman"/>
              </w:rPr>
            </w:pPr>
            <w:r>
              <w:rPr>
                <w:rFonts w:ascii="Times New Roman" w:hAnsi="Times New Roman"/>
                <w:b/>
                <w:bCs/>
                <w:sz w:val="14"/>
                <w:szCs w:val="14"/>
              </w:rPr>
              <w:t>VALOR UNITÁRIO</w:t>
            </w:r>
          </w:p>
        </w:tc>
        <w:tc>
          <w:tcPr>
            <w:tcW w:w="1304" w:type="dxa"/>
            <w:tcBorders>
              <w:left w:val="single" w:color="000000" w:sz="4" w:space="0"/>
              <w:bottom w:val="single" w:color="000000" w:sz="4" w:space="0"/>
              <w:right w:val="single" w:color="000000" w:sz="4" w:space="0"/>
            </w:tcBorders>
            <w:shd w:val="clear" w:color="auto" w:fill="B2B2B2"/>
            <w:vAlign w:val="center"/>
          </w:tcPr>
          <w:p>
            <w:pPr>
              <w:pStyle w:val="173"/>
              <w:spacing w:before="0" w:after="0" w:line="264" w:lineRule="auto"/>
              <w:ind w:left="198" w:right="-15" w:hanging="141"/>
              <w:jc w:val="center"/>
              <w:rPr>
                <w:rFonts w:ascii="Times New Roman" w:hAnsi="Times New Roman"/>
              </w:rPr>
            </w:pPr>
            <w:r>
              <w:rPr>
                <w:rFonts w:ascii="Times New Roman" w:hAnsi="Times New Roman"/>
                <w:b/>
                <w:bCs/>
                <w:sz w:val="14"/>
                <w:szCs w:val="14"/>
              </w:rPr>
              <w:t>VALOR TOTAL</w:t>
            </w:r>
          </w:p>
        </w:tc>
      </w:tr>
      <w:tr>
        <w:tblPrEx>
          <w:tblCellMar>
            <w:top w:w="0" w:type="dxa"/>
            <w:left w:w="7" w:type="dxa"/>
            <w:bottom w:w="0" w:type="dxa"/>
            <w:right w:w="7" w:type="dxa"/>
          </w:tblCellMar>
        </w:tblPrEx>
        <w:trPr>
          <w:trHeight w:val="336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226" w:after="0"/>
              <w:ind w:left="73" w:right="59"/>
              <w:jc w:val="both"/>
              <w:rPr>
                <w:rFonts w:ascii="Times New Roman" w:hAnsi="Times New Roman"/>
              </w:rPr>
            </w:pPr>
            <w:r>
              <w:rPr>
                <w:rFonts w:ascii="Times New Roman" w:hAnsi="Times New Roman"/>
                <w:b/>
                <w:spacing w:val="-5"/>
                <w:kern w:val="0"/>
                <w:sz w:val="18"/>
                <w:szCs w:val="18"/>
                <w:lang w:val="pt-BR" w:eastAsia="en-US" w:bidi="ar-SA"/>
              </w:rPr>
              <w:t>1</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0" w:after="0"/>
              <w:jc w:val="both"/>
              <w:rPr>
                <w:rFonts w:ascii="Times New Roman" w:hAnsi="Times New Roman"/>
              </w:rPr>
            </w:pPr>
            <w:r>
              <w:rPr>
                <w:rFonts w:ascii="Times New Roman" w:hAnsi="Times New Roman"/>
                <w:b/>
                <w:kern w:val="0"/>
                <w:sz w:val="18"/>
                <w:szCs w:val="18"/>
                <w:u w:val="single"/>
                <w:lang w:val="pt-BR" w:eastAsia="en-US" w:bidi="ar-SA"/>
              </w:rPr>
              <w:t xml:space="preserve">KIT CENTRAL DE ALARME </w:t>
            </w:r>
            <w:r>
              <w:rPr>
                <w:rFonts w:ascii="Times New Roman" w:hAnsi="Times New Roman"/>
                <w:b/>
                <w:spacing w:val="-2"/>
                <w:kern w:val="0"/>
                <w:sz w:val="18"/>
                <w:szCs w:val="18"/>
                <w:u w:val="single"/>
                <w:lang w:val="pt-BR" w:eastAsia="en-US" w:bidi="ar-SA"/>
              </w:rPr>
              <w:t>MONITORADA, CONTENDO:</w:t>
            </w:r>
          </w:p>
          <w:p>
            <w:pPr>
              <w:pStyle w:val="173"/>
              <w:spacing w:before="0" w:after="0"/>
              <w:jc w:val="both"/>
              <w:rPr>
                <w:rFonts w:ascii="Times New Roman" w:hAnsi="Times New Roman"/>
                <w:b/>
                <w:spacing w:val="-2"/>
                <w:kern w:val="0"/>
                <w:sz w:val="18"/>
                <w:szCs w:val="18"/>
                <w:u w:val="single"/>
                <w:lang w:val="pt-BR" w:eastAsia="en-US" w:bidi="ar-SA"/>
              </w:rPr>
            </w:pPr>
          </w:p>
          <w:p>
            <w:pPr>
              <w:pStyle w:val="173"/>
              <w:spacing w:before="29" w:after="0" w:line="264" w:lineRule="auto"/>
              <w:ind w:left="82" w:right="155"/>
              <w:jc w:val="both"/>
              <w:rPr>
                <w:rFonts w:ascii="Times New Roman" w:hAnsi="Times New Roman"/>
              </w:rPr>
            </w:pPr>
            <w:r>
              <w:rPr>
                <w:rFonts w:ascii="Times New Roman" w:hAnsi="Times New Roman"/>
                <w:b/>
                <w:bCs/>
                <w:kern w:val="0"/>
                <w:sz w:val="18"/>
                <w:szCs w:val="18"/>
                <w:u w:val="single"/>
                <w:lang w:eastAsia="en-US" w:bidi="ar-SA"/>
              </w:rPr>
              <w:t>CENTRAL DE ALARME MONITORADA</w:t>
            </w:r>
            <w:r>
              <w:rPr>
                <w:rFonts w:ascii="Times New Roman" w:hAnsi="Times New Roman"/>
                <w:kern w:val="0"/>
                <w:sz w:val="18"/>
                <w:szCs w:val="18"/>
                <w:lang w:eastAsia="en-US" w:bidi="ar-SA"/>
              </w:rPr>
              <w:t xml:space="preserve">, </w:t>
            </w:r>
            <w:r>
              <w:rPr>
                <w:rFonts w:ascii="Times New Roman" w:hAnsi="Times New Roman"/>
                <w:kern w:val="0"/>
                <w:sz w:val="18"/>
                <w:szCs w:val="18"/>
                <w:lang w:val="pt-BR" w:eastAsia="en-US" w:bidi="ar-SA"/>
              </w:rPr>
              <w:t xml:space="preserve">com mínimo de 16 zonas, com proteção de transmissão. A central deverá ser conectada via nuvem através de conexões Ethernet, Wi-Fi. Deve possuir receptor/transmissor de sinal sem fio integrado, deverá reportar eventos por conexão Ethernet/Wi-fi. A central de alarme deverá ter acesso remoto. </w:t>
            </w:r>
            <w:r>
              <w:rPr>
                <w:rFonts w:ascii="Times New Roman" w:hAnsi="Times New Roman"/>
                <w:b/>
                <w:kern w:val="0"/>
                <w:sz w:val="18"/>
                <w:szCs w:val="18"/>
                <w:u w:val="single"/>
                <w:lang w:val="pt-BR" w:eastAsia="en-US" w:bidi="ar-SA"/>
              </w:rPr>
              <w:t>O kit central de</w:t>
            </w:r>
            <w:r>
              <w:rPr>
                <w:rFonts w:ascii="Times New Roman" w:hAnsi="Times New Roman"/>
                <w:b/>
                <w:kern w:val="0"/>
                <w:sz w:val="18"/>
                <w:szCs w:val="18"/>
                <w:lang w:val="pt-BR" w:eastAsia="en-US" w:bidi="ar-SA"/>
              </w:rPr>
              <w:t xml:space="preserve"> </w:t>
            </w:r>
            <w:r>
              <w:rPr>
                <w:rFonts w:ascii="Times New Roman" w:hAnsi="Times New Roman"/>
                <w:b/>
                <w:kern w:val="0"/>
                <w:sz w:val="18"/>
                <w:szCs w:val="18"/>
                <w:u w:val="single"/>
                <w:lang w:val="pt-BR" w:eastAsia="en-US" w:bidi="ar-SA"/>
              </w:rPr>
              <w:t>alarme deverá conter</w:t>
            </w:r>
            <w:r>
              <w:rPr>
                <w:rFonts w:ascii="Times New Roman" w:hAnsi="Times New Roman"/>
                <w:kern w:val="0"/>
                <w:sz w:val="18"/>
                <w:szCs w:val="18"/>
                <w:lang w:val="pt-BR" w:eastAsia="en-US" w:bidi="ar-SA"/>
              </w:rPr>
              <w:t>:</w:t>
            </w:r>
          </w:p>
          <w:p>
            <w:pPr>
              <w:pStyle w:val="173"/>
              <w:spacing w:before="29" w:after="0" w:line="264" w:lineRule="auto"/>
              <w:ind w:left="82" w:right="155"/>
              <w:jc w:val="both"/>
              <w:rPr>
                <w:rFonts w:ascii="Times New Roman" w:hAnsi="Times New Roman"/>
                <w:kern w:val="0"/>
                <w:sz w:val="18"/>
                <w:szCs w:val="18"/>
                <w:lang w:val="pt-BR" w:eastAsia="en-US" w:bidi="ar-SA"/>
              </w:rPr>
            </w:pPr>
          </w:p>
          <w:p>
            <w:pPr>
              <w:pStyle w:val="173"/>
              <w:numPr>
                <w:ilvl w:val="0"/>
                <w:numId w:val="4"/>
              </w:numPr>
              <w:spacing w:before="29" w:after="0" w:line="264" w:lineRule="auto"/>
              <w:ind w:left="802" w:right="155" w:hanging="360"/>
              <w:jc w:val="both"/>
              <w:rPr>
                <w:rFonts w:ascii="Times New Roman" w:hAnsi="Times New Roman"/>
              </w:rPr>
            </w:pPr>
            <w:r>
              <w:rPr>
                <w:rFonts w:ascii="Times New Roman" w:hAnsi="Times New Roman"/>
                <w:kern w:val="0"/>
                <w:sz w:val="18"/>
                <w:szCs w:val="18"/>
                <w:lang w:val="pt-BR" w:eastAsia="en-US" w:bidi="ar-SA"/>
              </w:rPr>
              <w:t>Teclado, 03 unidades;</w:t>
            </w:r>
          </w:p>
          <w:p>
            <w:pPr>
              <w:pStyle w:val="173"/>
              <w:numPr>
                <w:ilvl w:val="0"/>
                <w:numId w:val="4"/>
              </w:numPr>
              <w:spacing w:before="29" w:after="0" w:line="264" w:lineRule="auto"/>
              <w:ind w:left="802" w:right="155" w:hanging="360"/>
              <w:jc w:val="both"/>
              <w:rPr>
                <w:rFonts w:ascii="Times New Roman" w:hAnsi="Times New Roman"/>
              </w:rPr>
            </w:pPr>
            <w:r>
              <w:rPr>
                <w:rFonts w:ascii="Times New Roman" w:hAnsi="Times New Roman"/>
                <w:kern w:val="0"/>
                <w:sz w:val="18"/>
                <w:szCs w:val="18"/>
                <w:lang w:val="pt-BR" w:eastAsia="en-US" w:bidi="ar-SA"/>
              </w:rPr>
              <w:t>Modulo expansor de zona, 4 unidades;</w:t>
            </w:r>
          </w:p>
          <w:p>
            <w:pPr>
              <w:pStyle w:val="173"/>
              <w:numPr>
                <w:ilvl w:val="0"/>
                <w:numId w:val="4"/>
              </w:numPr>
              <w:spacing w:before="29" w:after="0" w:line="264" w:lineRule="auto"/>
              <w:ind w:left="802" w:right="155" w:hanging="360"/>
              <w:jc w:val="both"/>
              <w:rPr>
                <w:rFonts w:ascii="Times New Roman" w:hAnsi="Times New Roman"/>
              </w:rPr>
            </w:pPr>
            <w:r>
              <w:rPr>
                <w:rFonts w:ascii="Times New Roman" w:hAnsi="Times New Roman"/>
                <w:kern w:val="0"/>
                <w:sz w:val="18"/>
                <w:szCs w:val="18"/>
                <w:lang w:val="pt-BR" w:eastAsia="en-US" w:bidi="ar-SA"/>
              </w:rPr>
              <w:t>Bateria 12v 7ah, de longa duração, 5 unidades;</w:t>
            </w:r>
          </w:p>
          <w:p>
            <w:pPr>
              <w:pStyle w:val="173"/>
              <w:numPr>
                <w:ilvl w:val="0"/>
                <w:numId w:val="4"/>
              </w:numPr>
              <w:spacing w:before="29" w:after="0" w:line="264" w:lineRule="auto"/>
              <w:ind w:left="802" w:right="155" w:hanging="360"/>
              <w:jc w:val="both"/>
              <w:rPr>
                <w:rFonts w:ascii="Times New Roman" w:hAnsi="Times New Roman"/>
              </w:rPr>
            </w:pPr>
            <w:r>
              <w:rPr>
                <w:rFonts w:ascii="Times New Roman" w:hAnsi="Times New Roman"/>
                <w:kern w:val="0"/>
                <w:sz w:val="18"/>
                <w:szCs w:val="18"/>
                <w:lang w:val="pt-BR" w:eastAsia="en-US" w:bidi="ar-SA"/>
              </w:rPr>
              <w:t>Sirene eletrônica com iluminação 110db 200ma, 6 unidades;</w:t>
            </w:r>
          </w:p>
          <w:p>
            <w:pPr>
              <w:pStyle w:val="173"/>
              <w:numPr>
                <w:ilvl w:val="0"/>
                <w:numId w:val="4"/>
              </w:numPr>
              <w:spacing w:before="29" w:after="0" w:line="264" w:lineRule="auto"/>
              <w:ind w:left="802" w:right="155" w:hanging="360"/>
              <w:jc w:val="both"/>
              <w:rPr>
                <w:rFonts w:ascii="Times New Roman" w:hAnsi="Times New Roman"/>
              </w:rPr>
            </w:pPr>
            <w:r>
              <w:rPr>
                <w:rFonts w:ascii="Times New Roman" w:hAnsi="Times New Roman"/>
                <w:kern w:val="0"/>
                <w:sz w:val="18"/>
                <w:szCs w:val="18"/>
                <w:lang w:val="pt-BR" w:eastAsia="en-US" w:bidi="ar-SA"/>
              </w:rPr>
              <w:t>Sensor de teto interno, 15 unidades;</w:t>
            </w:r>
          </w:p>
          <w:p>
            <w:pPr>
              <w:pStyle w:val="173"/>
              <w:numPr>
                <w:ilvl w:val="0"/>
                <w:numId w:val="4"/>
              </w:numPr>
              <w:spacing w:before="29" w:after="0" w:line="264" w:lineRule="auto"/>
              <w:ind w:left="802" w:right="155" w:hanging="360"/>
              <w:jc w:val="both"/>
              <w:rPr>
                <w:rFonts w:ascii="Times New Roman" w:hAnsi="Times New Roman"/>
              </w:rPr>
            </w:pPr>
            <w:r>
              <w:rPr>
                <w:rFonts w:ascii="Times New Roman" w:hAnsi="Times New Roman"/>
                <w:kern w:val="0"/>
                <w:sz w:val="18"/>
                <w:szCs w:val="18"/>
                <w:lang w:val="pt-BR" w:eastAsia="en-US" w:bidi="ar-SA"/>
              </w:rPr>
              <w:t>Sensor interno com fio, 53 unidades;</w:t>
            </w:r>
          </w:p>
          <w:p>
            <w:pPr>
              <w:pStyle w:val="173"/>
              <w:numPr>
                <w:ilvl w:val="0"/>
                <w:numId w:val="4"/>
              </w:numPr>
              <w:spacing w:before="29" w:after="0" w:line="264" w:lineRule="auto"/>
              <w:ind w:left="802" w:right="155" w:hanging="360"/>
              <w:jc w:val="both"/>
              <w:rPr>
                <w:rFonts w:ascii="Times New Roman" w:hAnsi="Times New Roman"/>
              </w:rPr>
            </w:pPr>
            <w:r>
              <w:rPr>
                <w:rFonts w:ascii="Times New Roman" w:hAnsi="Times New Roman"/>
                <w:kern w:val="0"/>
                <w:sz w:val="18"/>
                <w:szCs w:val="18"/>
                <w:lang w:val="pt-BR" w:eastAsia="en-US" w:bidi="ar-SA"/>
              </w:rPr>
              <w:t>Sensor magnético com fio, 3 unidades;</w:t>
            </w:r>
          </w:p>
          <w:p>
            <w:pPr>
              <w:pStyle w:val="173"/>
              <w:numPr>
                <w:ilvl w:val="0"/>
                <w:numId w:val="4"/>
              </w:numPr>
              <w:spacing w:before="29" w:after="0" w:line="264" w:lineRule="auto"/>
              <w:ind w:left="802" w:right="155" w:hanging="360"/>
              <w:jc w:val="both"/>
              <w:rPr>
                <w:rFonts w:ascii="Times New Roman" w:hAnsi="Times New Roman"/>
              </w:rPr>
            </w:pPr>
            <w:r>
              <w:rPr>
                <w:rFonts w:ascii="Times New Roman" w:hAnsi="Times New Roman"/>
                <w:kern w:val="0"/>
                <w:sz w:val="18"/>
                <w:szCs w:val="18"/>
                <w:lang w:val="pt-BR" w:eastAsia="en-US" w:bidi="ar-SA"/>
              </w:rPr>
              <w:t>Caixa telefone 60x60 sobrepor branca, 4 unidades;</w:t>
            </w:r>
          </w:p>
          <w:p>
            <w:pPr>
              <w:pStyle w:val="173"/>
              <w:numPr>
                <w:ilvl w:val="0"/>
                <w:numId w:val="4"/>
              </w:numPr>
              <w:spacing w:before="29" w:after="0" w:line="264" w:lineRule="auto"/>
              <w:ind w:left="802" w:right="155" w:hanging="360"/>
              <w:jc w:val="both"/>
              <w:rPr>
                <w:rFonts w:ascii="Times New Roman" w:hAnsi="Times New Roman"/>
              </w:rPr>
            </w:pPr>
            <w:r>
              <w:rPr>
                <w:rFonts w:ascii="Times New Roman" w:hAnsi="Times New Roman"/>
                <w:kern w:val="0"/>
                <w:sz w:val="18"/>
                <w:szCs w:val="18"/>
                <w:lang w:val="pt-BR" w:eastAsia="en-US" w:bidi="ar-SA"/>
              </w:rPr>
              <w:t>Régua 3 tomadas 2P+T 10A 250V – para montagem de extensão, 4 unidades;</w:t>
            </w:r>
          </w:p>
          <w:p>
            <w:pPr>
              <w:pStyle w:val="173"/>
              <w:numPr>
                <w:ilvl w:val="0"/>
                <w:numId w:val="4"/>
              </w:numPr>
              <w:spacing w:before="29" w:after="0" w:line="264" w:lineRule="auto"/>
              <w:ind w:left="802" w:right="155" w:hanging="360"/>
              <w:jc w:val="both"/>
              <w:rPr>
                <w:rFonts w:ascii="Times New Roman" w:hAnsi="Times New Roman"/>
              </w:rPr>
            </w:pPr>
            <w:r>
              <w:rPr>
                <w:rFonts w:ascii="Times New Roman" w:hAnsi="Times New Roman"/>
                <w:kern w:val="0"/>
                <w:sz w:val="18"/>
                <w:szCs w:val="18"/>
                <w:lang w:val="pt-BR" w:eastAsia="en-US" w:bidi="ar-SA"/>
              </w:rPr>
              <w:t>Canaleta 50x50 branca semiaberta, 6 unidades;</w:t>
            </w:r>
          </w:p>
          <w:p>
            <w:pPr>
              <w:pStyle w:val="173"/>
              <w:numPr>
                <w:ilvl w:val="0"/>
                <w:numId w:val="4"/>
              </w:numPr>
              <w:spacing w:before="29" w:after="0" w:line="264" w:lineRule="auto"/>
              <w:ind w:left="802" w:right="155" w:hanging="360"/>
              <w:jc w:val="both"/>
              <w:rPr>
                <w:rFonts w:ascii="Times New Roman" w:hAnsi="Times New Roman"/>
              </w:rPr>
            </w:pPr>
            <w:r>
              <w:rPr>
                <w:rFonts w:ascii="Times New Roman" w:hAnsi="Times New Roman"/>
                <w:bCs/>
                <w:kern w:val="0"/>
                <w:sz w:val="18"/>
                <w:szCs w:val="18"/>
                <w:lang w:val="pt-BR" w:eastAsia="en-US" w:bidi="ar-SA"/>
              </w:rPr>
              <w:t>Cabo PP 2x2.5mm, 50 metros;</w:t>
            </w:r>
          </w:p>
          <w:p>
            <w:pPr>
              <w:pStyle w:val="173"/>
              <w:numPr>
                <w:ilvl w:val="0"/>
                <w:numId w:val="4"/>
              </w:numPr>
              <w:spacing w:before="29" w:after="0" w:line="264" w:lineRule="auto"/>
              <w:ind w:left="802" w:right="155" w:hanging="360"/>
              <w:jc w:val="both"/>
              <w:rPr>
                <w:rFonts w:ascii="Times New Roman" w:hAnsi="Times New Roman"/>
              </w:rPr>
            </w:pPr>
            <w:r>
              <w:rPr>
                <w:rFonts w:ascii="Times New Roman" w:hAnsi="Times New Roman"/>
                <w:bCs/>
                <w:kern w:val="0"/>
                <w:sz w:val="18"/>
                <w:szCs w:val="18"/>
                <w:lang w:val="pt-BR" w:eastAsia="en-US" w:bidi="ar-SA"/>
              </w:rPr>
              <w:t>Rádio para alarme 460MHZ, 1 unidade;</w:t>
            </w:r>
          </w:p>
          <w:p>
            <w:pPr>
              <w:pStyle w:val="173"/>
              <w:numPr>
                <w:ilvl w:val="0"/>
                <w:numId w:val="4"/>
              </w:numPr>
              <w:spacing w:before="29" w:after="0" w:line="264" w:lineRule="auto"/>
              <w:ind w:left="802" w:right="155" w:hanging="360"/>
              <w:jc w:val="both"/>
              <w:rPr>
                <w:rFonts w:ascii="Times New Roman" w:hAnsi="Times New Roman"/>
              </w:rPr>
            </w:pPr>
            <w:r>
              <w:rPr>
                <w:rFonts w:ascii="Times New Roman" w:hAnsi="Times New Roman"/>
                <w:bCs/>
                <w:kern w:val="0"/>
                <w:sz w:val="18"/>
                <w:szCs w:val="18"/>
                <w:lang w:val="pt-BR" w:eastAsia="en-US" w:bidi="ar-SA"/>
              </w:rPr>
              <w:t>Chicote para o rádio, 1 unidade;</w:t>
            </w:r>
          </w:p>
          <w:p>
            <w:pPr>
              <w:pStyle w:val="173"/>
              <w:numPr>
                <w:ilvl w:val="0"/>
                <w:numId w:val="4"/>
              </w:numPr>
              <w:spacing w:before="29" w:after="0" w:line="264" w:lineRule="auto"/>
              <w:ind w:left="802" w:right="155" w:hanging="360"/>
              <w:jc w:val="both"/>
              <w:rPr>
                <w:rFonts w:ascii="Times New Roman" w:hAnsi="Times New Roman"/>
              </w:rPr>
            </w:pPr>
            <w:r>
              <w:rPr>
                <w:rFonts w:ascii="Times New Roman" w:hAnsi="Times New Roman"/>
                <w:bCs/>
                <w:kern w:val="0"/>
                <w:sz w:val="18"/>
                <w:szCs w:val="18"/>
                <w:lang w:val="pt-BR" w:eastAsia="en-US" w:bidi="ar-SA"/>
              </w:rPr>
              <w:t>Mão de Obra para instalação do sistema de Alarme;</w:t>
            </w:r>
          </w:p>
          <w:p>
            <w:pPr>
              <w:pStyle w:val="173"/>
              <w:spacing w:before="29" w:after="0" w:line="264" w:lineRule="auto"/>
              <w:ind w:right="155"/>
              <w:jc w:val="both"/>
              <w:rPr>
                <w:rFonts w:ascii="Times New Roman" w:hAnsi="Times New Roman"/>
                <w:bCs/>
                <w:kern w:val="0"/>
                <w:sz w:val="18"/>
                <w:szCs w:val="18"/>
                <w:lang w:val="pt-BR" w:eastAsia="en-US" w:bidi="ar-SA"/>
              </w:rPr>
            </w:pPr>
          </w:p>
          <w:p>
            <w:pPr>
              <w:pStyle w:val="173"/>
              <w:spacing w:before="29" w:after="0" w:line="264" w:lineRule="auto"/>
              <w:ind w:right="155"/>
              <w:jc w:val="both"/>
              <w:rPr>
                <w:rFonts w:ascii="Times New Roman" w:hAnsi="Times New Roman"/>
              </w:rPr>
            </w:pPr>
            <w:r>
              <w:rPr>
                <w:rFonts w:ascii="Times New Roman" w:hAnsi="Times New Roman"/>
                <w:bCs/>
                <w:kern w:val="0"/>
                <w:sz w:val="18"/>
                <w:szCs w:val="18"/>
                <w:lang w:val="pt-BR" w:eastAsia="en-US" w:bidi="ar-SA"/>
              </w:rPr>
              <w:t xml:space="preserve"> Referência:</w:t>
            </w:r>
          </w:p>
          <w:p>
            <w:pPr>
              <w:pStyle w:val="173"/>
              <w:spacing w:before="29" w:after="0" w:line="264" w:lineRule="auto"/>
              <w:ind w:right="155"/>
              <w:jc w:val="both"/>
              <w:rPr>
                <w:rFonts w:ascii="Times New Roman" w:hAnsi="Times New Roman"/>
              </w:rPr>
            </w:pPr>
            <w:r>
              <w:rPr>
                <w:rFonts w:ascii="Times New Roman" w:hAnsi="Times New Roman"/>
                <w:bCs/>
                <w:kern w:val="0"/>
                <w:sz w:val="18"/>
                <w:szCs w:val="18"/>
                <w:lang w:val="pt-BR" w:eastAsia="en-US" w:bidi="ar-SA"/>
              </w:rPr>
              <w:t xml:space="preserve"> </w:t>
            </w:r>
            <w:r>
              <w:rPr>
                <w:rFonts w:ascii="Times New Roman" w:hAnsi="Times New Roman"/>
                <w:b/>
                <w:spacing w:val="-2"/>
                <w:kern w:val="0"/>
                <w:sz w:val="18"/>
                <w:szCs w:val="18"/>
                <w:u w:val="single"/>
                <w:lang w:val="pt-BR" w:eastAsia="en-US" w:bidi="ar-SA"/>
              </w:rPr>
              <w:t xml:space="preserve">Central de alarme </w:t>
            </w:r>
            <w:r>
              <w:rPr>
                <w:rFonts w:ascii="Times New Roman" w:hAnsi="Times New Roman"/>
                <w:bCs/>
                <w:kern w:val="0"/>
                <w:sz w:val="18"/>
                <w:szCs w:val="18"/>
                <w:lang w:val="pt-BR" w:eastAsia="en-US" w:bidi="ar-SA"/>
              </w:rPr>
              <w:t>- igual ou similar a Central de Alarme ViaWeb 16 zonas IP</w:t>
            </w:r>
          </w:p>
          <w:p>
            <w:pPr>
              <w:pStyle w:val="173"/>
              <w:spacing w:before="29" w:after="0" w:line="264" w:lineRule="auto"/>
              <w:ind w:right="155"/>
              <w:jc w:val="both"/>
              <w:rPr>
                <w:rFonts w:ascii="Times New Roman" w:hAnsi="Times New Roman"/>
                <w:bCs/>
                <w:kern w:val="0"/>
                <w:sz w:val="18"/>
                <w:szCs w:val="18"/>
                <w:lang w:val="pt-BR" w:eastAsia="en-US" w:bidi="ar-SA"/>
              </w:rPr>
            </w:pPr>
          </w:p>
          <w:p>
            <w:pPr>
              <w:pStyle w:val="173"/>
              <w:spacing w:before="29" w:after="0" w:line="264" w:lineRule="auto"/>
              <w:ind w:right="155"/>
              <w:jc w:val="both"/>
              <w:rPr>
                <w:rFonts w:ascii="Times New Roman" w:hAnsi="Times New Roman"/>
              </w:rPr>
            </w:pPr>
            <w:r>
              <w:rPr>
                <w:rFonts w:ascii="Times New Roman" w:hAnsi="Times New Roman"/>
                <w:bCs/>
                <w:kern w:val="0"/>
                <w:sz w:val="18"/>
                <w:szCs w:val="18"/>
                <w:lang w:val="pt-BR" w:eastAsia="en-US" w:bidi="ar-SA"/>
              </w:rPr>
              <w:t xml:space="preserve"> </w:t>
            </w:r>
            <w:r>
              <w:rPr>
                <w:rFonts w:ascii="Times New Roman" w:hAnsi="Times New Roman"/>
                <w:b/>
                <w:spacing w:val="-2"/>
                <w:kern w:val="0"/>
                <w:sz w:val="18"/>
                <w:szCs w:val="18"/>
                <w:u w:val="single"/>
                <w:lang w:val="pt-BR" w:eastAsia="en-US" w:bidi="ar-SA"/>
              </w:rPr>
              <w:t xml:space="preserve">Teclado </w:t>
            </w:r>
            <w:r>
              <w:rPr>
                <w:rFonts w:ascii="Times New Roman" w:hAnsi="Times New Roman"/>
                <w:bCs/>
                <w:kern w:val="0"/>
                <w:sz w:val="18"/>
                <w:szCs w:val="18"/>
                <w:lang w:val="pt-BR" w:eastAsia="en-US" w:bidi="ar-SA"/>
              </w:rPr>
              <w:t>– Teclado ViaWeb 16 Plus</w:t>
            </w:r>
          </w:p>
          <w:p>
            <w:pPr>
              <w:pStyle w:val="173"/>
              <w:spacing w:before="29" w:after="0" w:line="264" w:lineRule="auto"/>
              <w:ind w:right="155"/>
              <w:jc w:val="both"/>
              <w:rPr>
                <w:rFonts w:ascii="Times New Roman" w:hAnsi="Times New Roman"/>
                <w:bCs/>
                <w:kern w:val="0"/>
                <w:sz w:val="18"/>
                <w:szCs w:val="18"/>
                <w:lang w:val="pt-BR" w:eastAsia="en-US" w:bidi="ar-SA"/>
              </w:rPr>
            </w:pPr>
          </w:p>
          <w:p>
            <w:pPr>
              <w:pStyle w:val="173"/>
              <w:tabs>
                <w:tab w:val="left" w:pos="1274"/>
                <w:tab w:val="left" w:pos="1849"/>
                <w:tab w:val="left" w:pos="3466"/>
              </w:tabs>
              <w:spacing w:before="0" w:after="0"/>
              <w:ind w:left="82"/>
              <w:jc w:val="both"/>
              <w:rPr>
                <w:rFonts w:ascii="Times New Roman" w:hAnsi="Times New Roman"/>
              </w:rPr>
            </w:pPr>
            <w:r>
              <w:rPr>
                <w:rFonts w:ascii="Times New Roman" w:hAnsi="Times New Roman"/>
                <w:b/>
                <w:spacing w:val="-2"/>
                <w:kern w:val="0"/>
                <w:sz w:val="18"/>
                <w:szCs w:val="18"/>
                <w:u w:val="single"/>
                <w:lang w:val="pt-BR" w:eastAsia="en-US" w:bidi="ar-SA"/>
              </w:rPr>
              <w:t>Sensor</w:t>
            </w:r>
            <w:r>
              <w:rPr>
                <w:rFonts w:ascii="Times New Roman" w:hAnsi="Times New Roman"/>
                <w:b/>
                <w:kern w:val="0"/>
                <w:sz w:val="18"/>
                <w:szCs w:val="18"/>
                <w:u w:val="single"/>
                <w:lang w:val="pt-BR" w:eastAsia="en-US" w:bidi="ar-SA"/>
              </w:rPr>
              <w:t xml:space="preserve"> </w:t>
            </w:r>
            <w:r>
              <w:rPr>
                <w:rFonts w:ascii="Times New Roman" w:hAnsi="Times New Roman"/>
                <w:b/>
                <w:spacing w:val="-5"/>
                <w:kern w:val="0"/>
                <w:sz w:val="18"/>
                <w:szCs w:val="18"/>
                <w:u w:val="single"/>
                <w:lang w:val="pt-BR" w:eastAsia="en-US" w:bidi="ar-SA"/>
              </w:rPr>
              <w:t>de</w:t>
            </w:r>
            <w:r>
              <w:rPr>
                <w:rFonts w:ascii="Times New Roman" w:hAnsi="Times New Roman"/>
                <w:b/>
                <w:kern w:val="0"/>
                <w:sz w:val="18"/>
                <w:szCs w:val="18"/>
                <w:u w:val="single"/>
                <w:lang w:val="pt-BR" w:eastAsia="en-US" w:bidi="ar-SA"/>
              </w:rPr>
              <w:t xml:space="preserve"> </w:t>
            </w:r>
            <w:r>
              <w:rPr>
                <w:rFonts w:ascii="Times New Roman" w:hAnsi="Times New Roman"/>
                <w:b/>
                <w:spacing w:val="-2"/>
                <w:kern w:val="0"/>
                <w:sz w:val="18"/>
                <w:szCs w:val="18"/>
                <w:u w:val="single"/>
                <w:lang w:val="pt-BR" w:eastAsia="en-US" w:bidi="ar-SA"/>
              </w:rPr>
              <w:t>movimento</w:t>
            </w:r>
            <w:r>
              <w:rPr>
                <w:rFonts w:ascii="Times New Roman" w:hAnsi="Times New Roman"/>
                <w:b/>
                <w:kern w:val="0"/>
                <w:sz w:val="18"/>
                <w:szCs w:val="18"/>
                <w:u w:val="single"/>
                <w:lang w:val="pt-BR" w:eastAsia="en-US" w:bidi="ar-SA"/>
              </w:rPr>
              <w:t xml:space="preserve"> </w:t>
            </w:r>
            <w:r>
              <w:rPr>
                <w:rFonts w:ascii="Times New Roman" w:hAnsi="Times New Roman"/>
                <w:b/>
                <w:spacing w:val="-2"/>
                <w:kern w:val="0"/>
                <w:sz w:val="18"/>
                <w:szCs w:val="18"/>
                <w:u w:val="single"/>
                <w:lang w:val="pt-BR" w:eastAsia="en-US" w:bidi="ar-SA"/>
              </w:rPr>
              <w:t>infraver</w:t>
            </w:r>
            <w:r>
              <w:rPr>
                <w:rFonts w:ascii="Times New Roman" w:hAnsi="Times New Roman"/>
                <w:b/>
                <w:spacing w:val="-2"/>
                <w:kern w:val="0"/>
                <w:sz w:val="18"/>
                <w:szCs w:val="18"/>
                <w:lang w:val="pt-BR" w:eastAsia="en-US" w:bidi="ar-SA"/>
              </w:rPr>
              <w:t>melho</w:t>
            </w:r>
            <w:r>
              <w:rPr>
                <w:rFonts w:ascii="Times New Roman" w:hAnsi="Times New Roman"/>
                <w:b/>
                <w:kern w:val="0"/>
                <w:sz w:val="18"/>
                <w:szCs w:val="18"/>
                <w:lang w:val="pt-BR" w:eastAsia="en-US" w:bidi="ar-SA"/>
              </w:rPr>
              <w:t xml:space="preserve">: </w:t>
            </w:r>
            <w:r>
              <w:rPr>
                <w:rFonts w:ascii="Times New Roman" w:hAnsi="Times New Roman"/>
                <w:kern w:val="0"/>
                <w:sz w:val="18"/>
                <w:szCs w:val="18"/>
                <w:lang w:val="pt-BR" w:eastAsia="en-US" w:bidi="ar-SA"/>
              </w:rPr>
              <w:t>O sensor de movimento infravermelho passivo deverá ter tecnologia para</w:t>
            </w:r>
            <w:r>
              <w:rPr>
                <w:rFonts w:ascii="Times New Roman" w:hAnsi="Times New Roman"/>
                <w:spacing w:val="80"/>
                <w:kern w:val="0"/>
                <w:sz w:val="18"/>
                <w:szCs w:val="18"/>
                <w:lang w:val="pt-BR" w:eastAsia="en-US" w:bidi="ar-SA"/>
              </w:rPr>
              <w:t xml:space="preserve"> </w:t>
            </w:r>
            <w:r>
              <w:rPr>
                <w:rFonts w:ascii="Times New Roman" w:hAnsi="Times New Roman"/>
                <w:kern w:val="0"/>
                <w:sz w:val="18"/>
                <w:szCs w:val="18"/>
                <w:lang w:val="pt-BR" w:eastAsia="en-US" w:bidi="ar-SA"/>
              </w:rPr>
              <w:t>análise do sinal e ajuste automático de temperatura. Com</w:t>
            </w:r>
            <w:r>
              <w:rPr>
                <w:rFonts w:ascii="Times New Roman" w:hAnsi="Times New Roman"/>
                <w:spacing w:val="40"/>
                <w:kern w:val="0"/>
                <w:sz w:val="18"/>
                <w:szCs w:val="18"/>
                <w:lang w:val="pt-BR" w:eastAsia="en-US" w:bidi="ar-SA"/>
              </w:rPr>
              <w:t xml:space="preserve"> </w:t>
            </w:r>
            <w:r>
              <w:rPr>
                <w:rFonts w:ascii="Times New Roman" w:hAnsi="Times New Roman"/>
                <w:kern w:val="0"/>
                <w:sz w:val="18"/>
                <w:szCs w:val="18"/>
                <w:lang w:val="pt-BR" w:eastAsia="en-US" w:bidi="ar-SA"/>
              </w:rPr>
              <w:t>detecção</w:t>
            </w:r>
            <w:r>
              <w:rPr>
                <w:rFonts w:ascii="Times New Roman" w:hAnsi="Times New Roman"/>
                <w:spacing w:val="40"/>
                <w:kern w:val="0"/>
                <w:sz w:val="18"/>
                <w:szCs w:val="18"/>
                <w:lang w:val="pt-BR" w:eastAsia="en-US" w:bidi="ar-SA"/>
              </w:rPr>
              <w:t xml:space="preserve"> </w:t>
            </w:r>
            <w:r>
              <w:rPr>
                <w:rFonts w:ascii="Times New Roman" w:hAnsi="Times New Roman"/>
                <w:kern w:val="0"/>
                <w:sz w:val="18"/>
                <w:szCs w:val="18"/>
                <w:lang w:val="pt-BR" w:eastAsia="en-US" w:bidi="ar-SA"/>
              </w:rPr>
              <w:t>para pets de até 20 kg, pelo menos. Deverá ter circuito de baixo consumo, ser de fácil instalação, possuir ângulo de detecção de 90°, configuração simples e compatível com a Central de alarme, Alcance de detecção de pelo menos 12 m,</w:t>
            </w:r>
            <w:r>
              <w:rPr>
                <w:rFonts w:ascii="Times New Roman" w:hAnsi="Times New Roman"/>
                <w:spacing w:val="40"/>
                <w:kern w:val="0"/>
                <w:sz w:val="18"/>
                <w:szCs w:val="18"/>
                <w:lang w:val="pt-BR" w:eastAsia="en-US" w:bidi="ar-SA"/>
              </w:rPr>
              <w:t xml:space="preserve"> </w:t>
            </w:r>
            <w:r>
              <w:rPr>
                <w:rFonts w:ascii="Times New Roman" w:hAnsi="Times New Roman"/>
                <w:kern w:val="0"/>
                <w:sz w:val="18"/>
                <w:szCs w:val="18"/>
                <w:lang w:val="pt-BR" w:eastAsia="en-US" w:bidi="ar-SA"/>
              </w:rPr>
              <w:t>deverá ter chave tamper anti violação frontal e traseira, LED para verificação do status de comunicação.</w:t>
            </w:r>
          </w:p>
          <w:p>
            <w:pPr>
              <w:pStyle w:val="173"/>
              <w:tabs>
                <w:tab w:val="left" w:pos="1274"/>
                <w:tab w:val="left" w:pos="1849"/>
                <w:tab w:val="left" w:pos="3466"/>
              </w:tabs>
              <w:spacing w:before="0" w:after="0"/>
              <w:ind w:left="82"/>
              <w:jc w:val="both"/>
              <w:rPr>
                <w:rFonts w:ascii="Times New Roman" w:hAnsi="Times New Roman"/>
                <w:kern w:val="0"/>
                <w:sz w:val="18"/>
                <w:szCs w:val="18"/>
                <w:lang w:val="pt-BR" w:eastAsia="en-US" w:bidi="ar-SA"/>
              </w:rPr>
            </w:pPr>
          </w:p>
          <w:p>
            <w:pPr>
              <w:pStyle w:val="173"/>
              <w:tabs>
                <w:tab w:val="left" w:pos="1274"/>
                <w:tab w:val="left" w:pos="1849"/>
                <w:tab w:val="left" w:pos="3466"/>
              </w:tabs>
              <w:spacing w:before="0" w:after="0"/>
              <w:ind w:left="82" w:right="132"/>
              <w:jc w:val="both"/>
              <w:rPr>
                <w:rFonts w:ascii="Times New Roman" w:hAnsi="Times New Roman"/>
              </w:rPr>
            </w:pPr>
            <w:r>
              <w:rPr>
                <w:rFonts w:ascii="Times New Roman" w:hAnsi="Times New Roman"/>
                <w:b/>
                <w:kern w:val="0"/>
                <w:sz w:val="18"/>
                <w:szCs w:val="18"/>
                <w:lang w:val="pt-BR" w:eastAsia="en-US" w:bidi="ar-SA"/>
              </w:rPr>
              <w:t>Todos os componentes deverão ter garantia mínima de 12 meses.</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0" w:after="0"/>
              <w:ind w:left="13"/>
              <w:jc w:val="center"/>
              <w:rPr>
                <w:rFonts w:ascii="Times New Roman" w:hAnsi="Times New Roman"/>
              </w:rPr>
            </w:pPr>
            <w:r>
              <w:rPr>
                <w:rFonts w:ascii="Times New Roman" w:hAnsi="Times New Roman"/>
                <w:b/>
                <w:bCs/>
                <w:spacing w:val="-4"/>
                <w:kern w:val="0"/>
                <w:sz w:val="18"/>
                <w:szCs w:val="18"/>
                <w:lang w:val="pt-BR" w:eastAsia="en-US" w:bidi="ar-SA"/>
              </w:rPr>
              <w:t>00022380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0" w:after="0"/>
              <w:ind w:left="13"/>
              <w:jc w:val="center"/>
              <w:rPr>
                <w:rFonts w:ascii="Times New Roman" w:hAnsi="Times New Roman"/>
              </w:rPr>
            </w:pPr>
            <w:r>
              <w:rPr>
                <w:rFonts w:ascii="Times New Roman" w:hAnsi="Times New Roman"/>
                <w:b/>
                <w:bCs/>
                <w:spacing w:val="-4"/>
                <w:kern w:val="0"/>
                <w:sz w:val="18"/>
                <w:szCs w:val="18"/>
                <w:lang w:val="pt-BR" w:eastAsia="en-US" w:bidi="ar-SA"/>
              </w:rPr>
              <w:t>01</w:t>
            </w:r>
          </w:p>
        </w:tc>
        <w:tc>
          <w:tcPr>
            <w:tcW w:w="832" w:type="dxa"/>
            <w:tcBorders>
              <w:top w:val="single" w:color="000000" w:sz="4" w:space="0"/>
              <w:left w:val="single" w:color="000000" w:sz="4" w:space="0"/>
              <w:bottom w:val="single" w:color="000000" w:sz="4" w:space="0"/>
            </w:tcBorders>
            <w:shd w:val="clear" w:color="auto" w:fill="auto"/>
            <w:vAlign w:val="center"/>
          </w:tcPr>
          <w:p>
            <w:pPr>
              <w:pStyle w:val="173"/>
              <w:spacing w:before="0" w:after="0" w:line="264" w:lineRule="auto"/>
              <w:ind w:left="198" w:right="-15" w:hanging="141"/>
              <w:jc w:val="center"/>
              <w:rPr>
                <w:rFonts w:ascii="Times New Roman" w:hAnsi="Times New Roman"/>
              </w:rPr>
            </w:pPr>
            <w:r>
              <w:rPr>
                <w:rFonts w:ascii="Times New Roman" w:hAnsi="Times New Roman"/>
                <w:b/>
                <w:bCs/>
                <w:kern w:val="0"/>
                <w:sz w:val="18"/>
                <w:szCs w:val="18"/>
                <w:lang w:val="pt-BR" w:eastAsia="en-US" w:bidi="ar-SA"/>
              </w:rPr>
              <w:t>UN</w:t>
            </w:r>
          </w:p>
        </w:tc>
        <w:tc>
          <w:tcPr>
            <w:tcW w:w="1208" w:type="dxa"/>
            <w:tcBorders>
              <w:top w:val="single" w:color="000000" w:sz="4" w:space="0"/>
              <w:left w:val="single" w:color="000000" w:sz="4" w:space="0"/>
              <w:bottom w:val="single" w:color="000000" w:sz="4" w:space="0"/>
            </w:tcBorders>
            <w:shd w:val="clear" w:color="auto" w:fill="auto"/>
            <w:vAlign w:val="center"/>
          </w:tcPr>
          <w:p>
            <w:pPr>
              <w:pStyle w:val="173"/>
              <w:spacing w:before="0" w:after="0" w:line="264" w:lineRule="auto"/>
              <w:ind w:left="198" w:right="-15" w:hanging="141"/>
              <w:jc w:val="both"/>
              <w:rPr>
                <w:rFonts w:ascii="Times New Roman" w:hAnsi="Times New Roman"/>
              </w:rPr>
            </w:pPr>
            <w:r>
              <w:rPr>
                <w:rFonts w:ascii="Times New Roman" w:hAnsi="Times New Roman"/>
                <w:b/>
                <w:bCs/>
                <w:sz w:val="18"/>
                <w:szCs w:val="18"/>
              </w:rPr>
              <w:t>13.569,73</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0" w:after="0" w:line="264" w:lineRule="auto"/>
              <w:ind w:left="198" w:right="-15" w:hanging="141"/>
              <w:jc w:val="both"/>
              <w:rPr>
                <w:rFonts w:ascii="Times New Roman" w:hAnsi="Times New Roman"/>
              </w:rPr>
            </w:pPr>
            <w:r>
              <w:rPr>
                <w:rFonts w:ascii="Times New Roman" w:hAnsi="Times New Roman"/>
                <w:b/>
                <w:bCs/>
                <w:sz w:val="18"/>
                <w:szCs w:val="18"/>
              </w:rPr>
              <w:t>13.569,73</w:t>
            </w:r>
          </w:p>
        </w:tc>
      </w:tr>
      <w:tr>
        <w:tblPrEx>
          <w:tblCellMar>
            <w:top w:w="0" w:type="dxa"/>
            <w:left w:w="7" w:type="dxa"/>
            <w:bottom w:w="0" w:type="dxa"/>
            <w:right w:w="7" w:type="dxa"/>
          </w:tblCellMar>
        </w:tblPrEx>
        <w:trPr>
          <w:trHeight w:val="6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226" w:after="0"/>
              <w:ind w:left="73" w:right="59"/>
              <w:jc w:val="both"/>
              <w:rPr>
                <w:rFonts w:ascii="Times New Roman" w:hAnsi="Times New Roman"/>
              </w:rPr>
            </w:pPr>
            <w:r>
              <w:rPr>
                <w:rFonts w:ascii="Times New Roman" w:hAnsi="Times New Roman"/>
                <w:b/>
                <w:spacing w:val="-5"/>
                <w:kern w:val="0"/>
                <w:sz w:val="22"/>
                <w:szCs w:val="22"/>
                <w:lang w:val="pt-BR" w:eastAsia="en-US" w:bidi="ar-SA"/>
              </w:rPr>
              <w:t>2</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numPr>
                <w:ilvl w:val="0"/>
                <w:numId w:val="12"/>
              </w:numPr>
              <w:spacing w:before="226" w:after="0"/>
              <w:jc w:val="both"/>
              <w:rPr>
                <w:rFonts w:ascii="Times New Roman" w:hAnsi="Times New Roman"/>
              </w:rPr>
            </w:pPr>
            <w:r>
              <w:rPr>
                <w:rFonts w:ascii="Times New Roman" w:hAnsi="Times New Roman"/>
                <w:b/>
                <w:kern w:val="0"/>
                <w:sz w:val="18"/>
                <w:szCs w:val="18"/>
                <w:u w:val="single"/>
                <w:lang w:val="pt-BR" w:eastAsia="en-US" w:bidi="ar-SA"/>
              </w:rPr>
              <w:t xml:space="preserve">NVR 32 CANAIS com HD 08 </w:t>
            </w:r>
            <w:r>
              <w:rPr>
                <w:rFonts w:ascii="Times New Roman" w:hAnsi="Times New Roman"/>
                <w:b/>
                <w:spacing w:val="-5"/>
                <w:kern w:val="0"/>
                <w:sz w:val="18"/>
                <w:szCs w:val="18"/>
                <w:u w:val="single"/>
                <w:lang w:val="pt-BR" w:eastAsia="en-US" w:bidi="ar-SA"/>
              </w:rPr>
              <w:t>TB:</w:t>
            </w:r>
          </w:p>
          <w:p>
            <w:pPr>
              <w:pStyle w:val="173"/>
              <w:numPr>
                <w:ilvl w:val="0"/>
                <w:numId w:val="0"/>
              </w:numPr>
              <w:spacing w:before="226" w:after="0"/>
              <w:ind w:left="720" w:firstLine="0"/>
              <w:jc w:val="both"/>
              <w:rPr>
                <w:rFonts w:ascii="Times New Roman" w:hAnsi="Times New Roman"/>
                <w:kern w:val="0"/>
                <w:sz w:val="18"/>
                <w:szCs w:val="18"/>
                <w:lang w:val="pt-BR" w:eastAsia="en-US" w:bidi="ar-SA"/>
              </w:rPr>
            </w:pPr>
          </w:p>
          <w:p>
            <w:pPr>
              <w:pStyle w:val="173"/>
              <w:numPr>
                <w:ilvl w:val="0"/>
                <w:numId w:val="12"/>
              </w:numPr>
              <w:spacing w:before="0" w:after="0"/>
              <w:jc w:val="both"/>
              <w:rPr>
                <w:rFonts w:ascii="Times New Roman" w:hAnsi="Times New Roman"/>
              </w:rPr>
            </w:pPr>
            <w:r>
              <w:rPr>
                <w:rFonts w:ascii="Times New Roman" w:hAnsi="Times New Roman"/>
                <w:kern w:val="0"/>
                <w:sz w:val="18"/>
                <w:szCs w:val="18"/>
                <w:lang w:val="pt-BR" w:eastAsia="en-US" w:bidi="ar-SA"/>
              </w:rPr>
              <w:t xml:space="preserve">NVR 32 CANAIS H265+ SATA 3 </w:t>
            </w:r>
            <w:r>
              <w:rPr>
                <w:rFonts w:ascii="Times New Roman" w:hAnsi="Times New Roman"/>
                <w:spacing w:val="-4"/>
                <w:kern w:val="0"/>
                <w:sz w:val="18"/>
                <w:szCs w:val="18"/>
                <w:lang w:val="pt-BR" w:eastAsia="en-US" w:bidi="ar-SA"/>
              </w:rPr>
              <w:t>com:</w:t>
            </w:r>
          </w:p>
          <w:p>
            <w:pPr>
              <w:pStyle w:val="173"/>
              <w:numPr>
                <w:ilvl w:val="0"/>
                <w:numId w:val="0"/>
              </w:numPr>
              <w:spacing w:before="0" w:after="0"/>
              <w:ind w:left="720" w:firstLine="0"/>
              <w:jc w:val="both"/>
              <w:rPr>
                <w:rFonts w:ascii="Times New Roman" w:hAnsi="Times New Roman"/>
                <w:spacing w:val="-4"/>
                <w:kern w:val="0"/>
                <w:sz w:val="18"/>
                <w:szCs w:val="18"/>
                <w:lang w:val="pt-BR" w:eastAsia="en-US" w:bidi="ar-SA"/>
              </w:rPr>
            </w:pPr>
          </w:p>
          <w:p>
            <w:pPr>
              <w:pStyle w:val="173"/>
              <w:numPr>
                <w:ilvl w:val="0"/>
                <w:numId w:val="12"/>
              </w:numPr>
              <w:spacing w:before="0" w:after="0" w:line="264" w:lineRule="auto"/>
              <w:jc w:val="both"/>
              <w:rPr>
                <w:rFonts w:ascii="Times New Roman" w:hAnsi="Times New Roman"/>
              </w:rPr>
            </w:pPr>
            <w:r>
              <w:rPr>
                <w:rFonts w:ascii="Times New Roman" w:hAnsi="Times New Roman"/>
                <w:kern w:val="0"/>
                <w:sz w:val="18"/>
                <w:szCs w:val="18"/>
                <w:lang w:val="pt-BR" w:eastAsia="en-US" w:bidi="ar-SA"/>
              </w:rPr>
              <w:t>Processador de alto desempenho, entrada de vídeo,</w:t>
            </w:r>
          </w:p>
          <w:p>
            <w:pPr>
              <w:pStyle w:val="173"/>
              <w:numPr>
                <w:ilvl w:val="0"/>
                <w:numId w:val="12"/>
              </w:numPr>
              <w:spacing w:before="0" w:after="0" w:line="264" w:lineRule="auto"/>
              <w:jc w:val="both"/>
              <w:rPr>
                <w:rFonts w:ascii="Times New Roman" w:hAnsi="Times New Roman"/>
              </w:rPr>
            </w:pPr>
            <w:r>
              <w:rPr>
                <w:rFonts w:ascii="Times New Roman" w:hAnsi="Times New Roman"/>
                <w:kern w:val="0"/>
                <w:sz w:val="18"/>
                <w:szCs w:val="18"/>
                <w:lang w:val="pt-BR" w:eastAsia="en-US" w:bidi="ar-SA"/>
              </w:rPr>
              <w:t>Suporte para 32 câmeras IP,</w:t>
            </w:r>
          </w:p>
          <w:p>
            <w:pPr>
              <w:pStyle w:val="173"/>
              <w:numPr>
                <w:ilvl w:val="0"/>
                <w:numId w:val="12"/>
              </w:numPr>
              <w:spacing w:before="0" w:after="0" w:line="264" w:lineRule="auto"/>
              <w:jc w:val="both"/>
              <w:rPr>
                <w:rFonts w:ascii="Times New Roman" w:hAnsi="Times New Roman"/>
              </w:rPr>
            </w:pPr>
            <w:r>
              <w:rPr>
                <w:rFonts w:ascii="Times New Roman" w:hAnsi="Times New Roman"/>
                <w:kern w:val="0"/>
                <w:sz w:val="18"/>
                <w:szCs w:val="18"/>
                <w:lang w:val="pt-BR" w:eastAsia="en-US" w:bidi="ar-SA"/>
              </w:rPr>
              <w:t>Saídas de vídeo no mínimo 1 HDMI e 1 VGA, resoluções suportadas no monitor HDMI 3.840 × 2.160, 1920 × 1080,1280 × 1024, 1280 × 720,</w:t>
            </w:r>
          </w:p>
          <w:p>
            <w:pPr>
              <w:pStyle w:val="173"/>
              <w:numPr>
                <w:ilvl w:val="0"/>
                <w:numId w:val="12"/>
              </w:numPr>
              <w:spacing w:before="0" w:after="0" w:line="264" w:lineRule="auto"/>
              <w:jc w:val="both"/>
              <w:rPr>
                <w:rFonts w:ascii="Times New Roman" w:hAnsi="Times New Roman"/>
              </w:rPr>
            </w:pPr>
            <w:r>
              <w:rPr>
                <w:rFonts w:ascii="Times New Roman" w:hAnsi="Times New Roman"/>
                <w:kern w:val="0"/>
                <w:sz w:val="18"/>
                <w:szCs w:val="18"/>
                <w:lang w:val="pt-BR" w:eastAsia="en-US" w:bidi="ar-SA"/>
              </w:rPr>
              <w:t>Resoluções suportadas no monitor VGA 11920 × 1080, 1280 × 1024,1280 × 720,</w:t>
            </w:r>
          </w:p>
          <w:p>
            <w:pPr>
              <w:pStyle w:val="173"/>
              <w:numPr>
                <w:ilvl w:val="0"/>
                <w:numId w:val="12"/>
              </w:numPr>
              <w:spacing w:before="0" w:after="0" w:line="264" w:lineRule="auto"/>
              <w:jc w:val="both"/>
              <w:rPr>
                <w:rFonts w:ascii="Times New Roman" w:hAnsi="Times New Roman"/>
              </w:rPr>
            </w:pPr>
            <w:r>
              <w:rPr>
                <w:rFonts w:ascii="Times New Roman" w:hAnsi="Times New Roman"/>
                <w:kern w:val="0"/>
                <w:sz w:val="18"/>
                <w:szCs w:val="18"/>
                <w:lang w:val="pt-BR" w:eastAsia="en-US" w:bidi="ar-SA"/>
              </w:rPr>
              <w:t>Quantidade de canais exibidos na tela 1, 4, 8, 9, 16,</w:t>
            </w:r>
          </w:p>
          <w:p>
            <w:pPr>
              <w:pStyle w:val="173"/>
              <w:numPr>
                <w:ilvl w:val="0"/>
                <w:numId w:val="0"/>
              </w:numPr>
              <w:spacing w:before="0" w:after="0" w:line="264" w:lineRule="auto"/>
              <w:ind w:left="720" w:firstLine="0"/>
              <w:jc w:val="both"/>
              <w:rPr>
                <w:rFonts w:ascii="Times New Roman" w:hAnsi="Times New Roman"/>
              </w:rPr>
            </w:pPr>
            <w:r>
              <w:rPr>
                <w:rFonts w:ascii="Times New Roman" w:hAnsi="Times New Roman"/>
                <w:kern w:val="0"/>
                <w:sz w:val="18"/>
                <w:szCs w:val="18"/>
                <w:lang w:val="pt-BR" w:eastAsia="en-US" w:bidi="ar-SA"/>
              </w:rPr>
              <w:t>25 e 32, com resoluções suportadas na visualização 8MP (4K), 6MP, 5MP, 4MP, 3MP, 2MP(Full HD/1080p), 1MP(HD/720p), D1, CIF,com Zoom digital, com Controle de contas de usuário com permissões de acesso ao sistema, gravação com sistema de compressão dos arquivos H.265/H.264/H.264H/H.264B/MJPEG resoluções de gravação suportadas 8MP(4K), 6MP, 5MP, 4MP, 3MP, 2MP(Full HD/1080p), 1MP(HD</w:t>
            </w:r>
          </w:p>
          <w:p>
            <w:pPr>
              <w:pStyle w:val="173"/>
              <w:numPr>
                <w:ilvl w:val="0"/>
                <w:numId w:val="0"/>
              </w:numPr>
              <w:spacing w:before="0" w:after="0" w:line="264" w:lineRule="auto"/>
              <w:ind w:left="720" w:firstLine="0"/>
              <w:jc w:val="both"/>
              <w:rPr>
                <w:rFonts w:ascii="Times New Roman" w:hAnsi="Times New Roman"/>
              </w:rPr>
            </w:pPr>
            <w:r>
              <w:rPr>
                <w:rFonts w:ascii="Times New Roman" w:hAnsi="Times New Roman"/>
                <w:kern w:val="0"/>
                <w:sz w:val="18"/>
                <w:szCs w:val="18"/>
                <w:lang w:val="pt-BR" w:eastAsia="en-US" w:bidi="ar-SA"/>
              </w:rPr>
              <w:t>/720p), D1, CIF.</w:t>
            </w:r>
          </w:p>
          <w:p>
            <w:pPr>
              <w:pStyle w:val="173"/>
              <w:numPr>
                <w:ilvl w:val="0"/>
                <w:numId w:val="12"/>
              </w:numPr>
              <w:spacing w:before="0" w:after="0" w:line="264" w:lineRule="auto"/>
              <w:jc w:val="both"/>
              <w:rPr>
                <w:rFonts w:ascii="Times New Roman" w:hAnsi="Times New Roman"/>
              </w:rPr>
            </w:pPr>
            <w:r>
              <w:rPr>
                <w:rFonts w:ascii="Times New Roman" w:hAnsi="Times New Roman"/>
                <w:kern w:val="0"/>
                <w:sz w:val="18"/>
                <w:szCs w:val="18"/>
                <w:lang w:val="pt-BR" w:eastAsia="en-US" w:bidi="ar-SA"/>
              </w:rPr>
              <w:t>Taxa de frames suportada para gravação por resolução 8MP(4K), 6MP, 5MP,4MP, 3MP, 2MP (Full HD/1080p), 1MP(HD/720p), D1, CIF todos em até 30 FPS,</w:t>
            </w:r>
          </w:p>
          <w:p>
            <w:pPr>
              <w:pStyle w:val="173"/>
              <w:numPr>
                <w:ilvl w:val="0"/>
                <w:numId w:val="12"/>
              </w:numPr>
              <w:spacing w:before="0" w:after="0" w:line="264" w:lineRule="auto"/>
              <w:jc w:val="both"/>
              <w:rPr>
                <w:rFonts w:ascii="Times New Roman" w:hAnsi="Times New Roman"/>
              </w:rPr>
            </w:pPr>
            <w:r>
              <w:rPr>
                <w:rFonts w:ascii="Times New Roman" w:hAnsi="Times New Roman"/>
                <w:kern w:val="0"/>
                <w:sz w:val="18"/>
                <w:szCs w:val="18"/>
                <w:lang w:val="pt-BR" w:eastAsia="en-US" w:bidi="ar-SA"/>
              </w:rPr>
              <w:t>Taxa de bit rate suportada para gravação 180 Mbps, considerando uma taxa de frames de 30 FPS. armazenamento disco rígido com capacidade mínima de 8TB SATA 3;</w:t>
            </w:r>
          </w:p>
          <w:p>
            <w:pPr>
              <w:pStyle w:val="173"/>
              <w:numPr>
                <w:ilvl w:val="0"/>
                <w:numId w:val="12"/>
              </w:numPr>
              <w:spacing w:before="0" w:after="0" w:line="264" w:lineRule="auto"/>
              <w:jc w:val="both"/>
              <w:rPr>
                <w:rFonts w:ascii="Times New Roman" w:hAnsi="Times New Roman"/>
              </w:rPr>
            </w:pPr>
            <w:r>
              <w:rPr>
                <w:rFonts w:ascii="Times New Roman" w:hAnsi="Times New Roman"/>
                <w:b/>
                <w:kern w:val="0"/>
                <w:sz w:val="18"/>
                <w:szCs w:val="18"/>
                <w:lang w:val="pt-BR" w:eastAsia="en-US" w:bidi="ar-SA"/>
              </w:rPr>
              <w:t>Deverá ser fornecido junto com o NVR um</w:t>
            </w:r>
            <w:r>
              <w:rPr>
                <w:rFonts w:ascii="Times New Roman" w:hAnsi="Times New Roman"/>
                <w:b/>
                <w:spacing w:val="40"/>
                <w:kern w:val="0"/>
                <w:sz w:val="18"/>
                <w:szCs w:val="18"/>
                <w:lang w:val="pt-BR" w:eastAsia="en-US" w:bidi="ar-SA"/>
              </w:rPr>
              <w:t xml:space="preserve"> </w:t>
            </w:r>
            <w:r>
              <w:rPr>
                <w:rFonts w:ascii="Times New Roman" w:hAnsi="Times New Roman"/>
                <w:b/>
                <w:kern w:val="0"/>
                <w:sz w:val="18"/>
                <w:szCs w:val="18"/>
                <w:lang w:val="pt-BR" w:eastAsia="en-US" w:bidi="ar-SA"/>
              </w:rPr>
              <w:t>HD 08 TB</w:t>
            </w:r>
            <w:r>
              <w:rPr>
                <w:rFonts w:ascii="Times New Roman" w:hAnsi="Times New Roman"/>
                <w:kern w:val="0"/>
                <w:sz w:val="18"/>
                <w:szCs w:val="18"/>
                <w:lang w:val="pt-BR" w:eastAsia="en-US" w:bidi="ar-SA"/>
              </w:rPr>
              <w:t>, Disco rígido especial para segurança eletrônica com operação 24 horas por dia 7 dias por semana, estabilidade na gravação de dados, velocidade de disco controlada, dissipação de calor otimizada, baixo</w:t>
            </w:r>
            <w:r>
              <w:rPr>
                <w:rFonts w:ascii="Times New Roman" w:hAnsi="Times New Roman"/>
                <w:spacing w:val="80"/>
                <w:kern w:val="0"/>
                <w:sz w:val="18"/>
                <w:szCs w:val="18"/>
                <w:lang w:val="pt-BR" w:eastAsia="en-US" w:bidi="ar-SA"/>
              </w:rPr>
              <w:t xml:space="preserve"> </w:t>
            </w:r>
            <w:r>
              <w:rPr>
                <w:rFonts w:ascii="Times New Roman" w:hAnsi="Times New Roman"/>
                <w:kern w:val="0"/>
                <w:sz w:val="18"/>
                <w:szCs w:val="18"/>
                <w:lang w:val="pt-BR" w:eastAsia="en-US" w:bidi="ar-SA"/>
              </w:rPr>
              <w:t>consumo de energia e nível de ruído.</w:t>
            </w:r>
          </w:p>
          <w:p>
            <w:pPr>
              <w:pStyle w:val="173"/>
              <w:numPr>
                <w:ilvl w:val="0"/>
                <w:numId w:val="0"/>
              </w:numPr>
              <w:spacing w:before="0" w:after="0" w:line="264" w:lineRule="auto"/>
              <w:ind w:left="720" w:firstLine="0"/>
              <w:jc w:val="both"/>
              <w:rPr>
                <w:rFonts w:ascii="Times New Roman" w:hAnsi="Times New Roman"/>
                <w:kern w:val="0"/>
                <w:sz w:val="18"/>
                <w:szCs w:val="18"/>
                <w:lang w:val="pt-BR" w:eastAsia="en-US" w:bidi="ar-SA"/>
              </w:rPr>
            </w:pPr>
          </w:p>
          <w:p>
            <w:pPr>
              <w:pStyle w:val="173"/>
              <w:numPr>
                <w:ilvl w:val="0"/>
                <w:numId w:val="12"/>
              </w:numPr>
              <w:spacing w:before="0" w:after="0" w:line="264" w:lineRule="auto"/>
              <w:jc w:val="both"/>
              <w:rPr>
                <w:rFonts w:ascii="Times New Roman" w:hAnsi="Times New Roman"/>
              </w:rPr>
            </w:pPr>
            <w:r>
              <w:rPr>
                <w:rFonts w:ascii="Times New Roman" w:hAnsi="Times New Roman"/>
                <w:kern w:val="0"/>
                <w:sz w:val="18"/>
                <w:szCs w:val="18"/>
                <w:lang w:val="pt-BR" w:eastAsia="en-US" w:bidi="ar-SA"/>
              </w:rPr>
              <w:t>O Kit ainda deverá conter os seguintes itens:</w:t>
            </w:r>
          </w:p>
          <w:p>
            <w:pPr>
              <w:pStyle w:val="173"/>
              <w:numPr>
                <w:ilvl w:val="0"/>
                <w:numId w:val="0"/>
              </w:numPr>
              <w:spacing w:before="0" w:after="0" w:line="264" w:lineRule="auto"/>
              <w:ind w:left="720" w:firstLine="0"/>
              <w:jc w:val="both"/>
              <w:rPr>
                <w:rFonts w:ascii="Times New Roman" w:hAnsi="Times New Roman"/>
                <w:kern w:val="0"/>
                <w:sz w:val="18"/>
                <w:szCs w:val="18"/>
                <w:lang w:val="pt-BR" w:eastAsia="en-US" w:bidi="ar-SA"/>
              </w:rPr>
            </w:pPr>
          </w:p>
          <w:p>
            <w:pPr>
              <w:pStyle w:val="173"/>
              <w:numPr>
                <w:ilvl w:val="0"/>
                <w:numId w:val="12"/>
              </w:numPr>
              <w:spacing w:before="0" w:after="0" w:line="264" w:lineRule="auto"/>
              <w:jc w:val="both"/>
              <w:rPr>
                <w:rFonts w:ascii="Times New Roman" w:hAnsi="Times New Roman"/>
              </w:rPr>
            </w:pPr>
            <w:r>
              <w:rPr>
                <w:rFonts w:ascii="Times New Roman" w:hAnsi="Times New Roman"/>
                <w:kern w:val="0"/>
                <w:sz w:val="18"/>
                <w:szCs w:val="18"/>
                <w:lang w:eastAsia="en-US" w:bidi="ar-SA"/>
              </w:rPr>
              <w:t>SWITCH 16 PORTAS</w:t>
            </w:r>
          </w:p>
          <w:p>
            <w:pPr>
              <w:pStyle w:val="173"/>
              <w:numPr>
                <w:ilvl w:val="0"/>
                <w:numId w:val="0"/>
              </w:numPr>
              <w:spacing w:before="0" w:after="0" w:line="264" w:lineRule="auto"/>
              <w:ind w:left="720" w:firstLine="0"/>
              <w:jc w:val="both"/>
              <w:rPr>
                <w:rFonts w:ascii="Times New Roman" w:hAnsi="Times New Roman"/>
                <w:kern w:val="0"/>
                <w:sz w:val="18"/>
                <w:szCs w:val="18"/>
                <w:lang w:val="pt-BR" w:eastAsia="en-US" w:bidi="ar-SA"/>
              </w:rPr>
            </w:pPr>
          </w:p>
          <w:p>
            <w:pPr>
              <w:pStyle w:val="173"/>
              <w:numPr>
                <w:ilvl w:val="0"/>
                <w:numId w:val="12"/>
              </w:numPr>
              <w:spacing w:before="0" w:after="0" w:line="264" w:lineRule="auto"/>
              <w:jc w:val="both"/>
              <w:rPr>
                <w:rFonts w:ascii="Times New Roman" w:hAnsi="Times New Roman"/>
              </w:rPr>
            </w:pPr>
            <w:r>
              <w:rPr>
                <w:rFonts w:ascii="Times New Roman" w:hAnsi="Times New Roman"/>
                <w:b/>
                <w:kern w:val="0"/>
                <w:sz w:val="18"/>
                <w:szCs w:val="18"/>
                <w:lang w:val="pt-BR" w:eastAsia="en-US" w:bidi="ar-SA"/>
              </w:rPr>
              <w:t xml:space="preserve">Garantia mínima: 12 </w:t>
            </w:r>
            <w:r>
              <w:rPr>
                <w:rFonts w:ascii="Times New Roman" w:hAnsi="Times New Roman"/>
                <w:b/>
                <w:spacing w:val="-2"/>
                <w:kern w:val="0"/>
                <w:sz w:val="18"/>
                <w:szCs w:val="18"/>
                <w:lang w:val="pt-BR" w:eastAsia="en-US" w:bidi="ar-SA"/>
              </w:rPr>
              <w:t>meses.</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0" w:after="0" w:line="264" w:lineRule="auto"/>
              <w:ind w:left="198" w:right="-15" w:hanging="141"/>
              <w:jc w:val="both"/>
              <w:rPr>
                <w:rFonts w:ascii="Times New Roman" w:hAnsi="Times New Roman"/>
                <w:b/>
                <w:bCs/>
                <w:kern w:val="0"/>
                <w:sz w:val="18"/>
                <w:szCs w:val="18"/>
                <w:lang w:val="pt-BR" w:eastAsia="en-US" w:bidi="ar-SA"/>
              </w:rPr>
            </w:pPr>
          </w:p>
          <w:p>
            <w:pPr>
              <w:pStyle w:val="173"/>
              <w:spacing w:before="0" w:after="0" w:line="264" w:lineRule="auto"/>
              <w:ind w:left="198" w:right="-15" w:hanging="141"/>
              <w:jc w:val="both"/>
              <w:rPr>
                <w:rFonts w:ascii="Times New Roman" w:hAnsi="Times New Roman"/>
              </w:rPr>
            </w:pPr>
            <w:r>
              <w:rPr>
                <w:rFonts w:ascii="Times New Roman" w:hAnsi="Times New Roman"/>
                <w:b/>
                <w:bCs/>
                <w:kern w:val="0"/>
                <w:sz w:val="18"/>
                <w:szCs w:val="18"/>
                <w:lang w:val="pt-BR" w:eastAsia="en-US" w:bidi="ar-SA"/>
              </w:rPr>
              <w:t>00065333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0" w:after="0"/>
              <w:ind w:left="13"/>
              <w:jc w:val="both"/>
              <w:rPr>
                <w:rFonts w:ascii="Times New Roman" w:hAnsi="Times New Roman"/>
                <w:b/>
                <w:bCs/>
                <w:spacing w:val="-4"/>
                <w:kern w:val="0"/>
                <w:sz w:val="18"/>
                <w:szCs w:val="18"/>
                <w:lang w:val="pt-BR" w:eastAsia="en-US" w:bidi="ar-SA"/>
              </w:rPr>
            </w:pPr>
          </w:p>
          <w:p>
            <w:pPr>
              <w:pStyle w:val="173"/>
              <w:spacing w:before="0" w:after="0"/>
              <w:ind w:left="13"/>
              <w:jc w:val="both"/>
              <w:rPr>
                <w:rFonts w:ascii="Times New Roman" w:hAnsi="Times New Roman"/>
              </w:rPr>
            </w:pPr>
            <w:r>
              <w:rPr>
                <w:rFonts w:ascii="Times New Roman" w:hAnsi="Times New Roman"/>
                <w:b/>
                <w:bCs/>
                <w:spacing w:val="-4"/>
                <w:kern w:val="0"/>
                <w:sz w:val="18"/>
                <w:szCs w:val="18"/>
                <w:lang w:val="pt-BR" w:eastAsia="en-US" w:bidi="ar-SA"/>
              </w:rPr>
              <w:t>02</w:t>
            </w:r>
          </w:p>
        </w:tc>
        <w:tc>
          <w:tcPr>
            <w:tcW w:w="832" w:type="dxa"/>
            <w:tcBorders>
              <w:top w:val="single" w:color="000000" w:sz="4" w:space="0"/>
              <w:left w:val="single" w:color="000000" w:sz="4" w:space="0"/>
              <w:bottom w:val="single" w:color="000000" w:sz="4" w:space="0"/>
            </w:tcBorders>
            <w:shd w:val="clear" w:color="auto" w:fill="auto"/>
            <w:vAlign w:val="center"/>
          </w:tcPr>
          <w:p>
            <w:pPr>
              <w:pStyle w:val="173"/>
              <w:spacing w:before="0" w:after="0" w:line="264" w:lineRule="auto"/>
              <w:ind w:left="198" w:right="-15" w:hanging="141"/>
              <w:jc w:val="both"/>
              <w:rPr>
                <w:rFonts w:ascii="Times New Roman" w:hAnsi="Times New Roman"/>
                <w:b/>
                <w:bCs/>
                <w:kern w:val="0"/>
                <w:sz w:val="18"/>
                <w:szCs w:val="18"/>
                <w:lang w:val="pt-BR" w:eastAsia="en-US" w:bidi="ar-SA"/>
              </w:rPr>
            </w:pPr>
          </w:p>
          <w:p>
            <w:pPr>
              <w:pStyle w:val="173"/>
              <w:spacing w:before="0" w:after="0" w:line="264" w:lineRule="auto"/>
              <w:ind w:left="198" w:right="-15" w:hanging="141"/>
              <w:jc w:val="both"/>
              <w:rPr>
                <w:rFonts w:ascii="Times New Roman" w:hAnsi="Times New Roman"/>
                <w:kern w:val="0"/>
                <w:lang w:val="pt-BR" w:eastAsia="en-US" w:bidi="ar-SA"/>
              </w:rPr>
            </w:pPr>
          </w:p>
          <w:p>
            <w:pPr>
              <w:pStyle w:val="173"/>
              <w:spacing w:before="0" w:after="0" w:line="264" w:lineRule="auto"/>
              <w:ind w:left="198" w:right="-15" w:hanging="141"/>
              <w:jc w:val="both"/>
              <w:rPr>
                <w:rFonts w:ascii="Times New Roman" w:hAnsi="Times New Roman"/>
              </w:rPr>
            </w:pPr>
            <w:r>
              <w:rPr>
                <w:rFonts w:ascii="Times New Roman" w:hAnsi="Times New Roman"/>
                <w:b/>
                <w:bCs/>
                <w:kern w:val="0"/>
                <w:sz w:val="18"/>
                <w:szCs w:val="18"/>
                <w:lang w:val="pt-BR" w:eastAsia="en-US" w:bidi="ar-SA"/>
              </w:rPr>
              <w:t>UN</w:t>
            </w:r>
          </w:p>
        </w:tc>
        <w:tc>
          <w:tcPr>
            <w:tcW w:w="1208" w:type="dxa"/>
            <w:tcBorders>
              <w:top w:val="single" w:color="000000" w:sz="4" w:space="0"/>
              <w:left w:val="single" w:color="000000" w:sz="4" w:space="0"/>
              <w:bottom w:val="single" w:color="000000" w:sz="4" w:space="0"/>
            </w:tcBorders>
            <w:shd w:val="clear" w:color="auto" w:fill="auto"/>
            <w:vAlign w:val="center"/>
          </w:tcPr>
          <w:p>
            <w:pPr>
              <w:pStyle w:val="173"/>
              <w:spacing w:before="0" w:after="0" w:line="264" w:lineRule="auto"/>
              <w:ind w:left="198" w:right="-15" w:hanging="141"/>
              <w:jc w:val="both"/>
              <w:rPr>
                <w:rFonts w:ascii="Times New Roman" w:hAnsi="Times New Roman"/>
                <w:b/>
                <w:bCs/>
                <w:sz w:val="18"/>
                <w:szCs w:val="18"/>
              </w:rPr>
            </w:pPr>
          </w:p>
          <w:p>
            <w:pPr>
              <w:pStyle w:val="173"/>
              <w:spacing w:before="0" w:after="0" w:line="264" w:lineRule="auto"/>
              <w:ind w:left="198" w:right="-15" w:hanging="141"/>
              <w:jc w:val="both"/>
              <w:rPr>
                <w:rFonts w:hint="default" w:ascii="Times New Roman" w:hAnsi="Times New Roman"/>
                <w:lang w:val="pt-BR"/>
              </w:rPr>
            </w:pPr>
            <w:r>
              <w:rPr>
                <w:rFonts w:ascii="Times New Roman" w:hAnsi="Times New Roman"/>
                <w:b/>
                <w:bCs/>
                <w:sz w:val="18"/>
                <w:szCs w:val="18"/>
              </w:rPr>
              <w:t>12</w:t>
            </w:r>
            <w:r>
              <w:rPr>
                <w:rFonts w:hint="default" w:ascii="Times New Roman" w:hAnsi="Times New Roman"/>
                <w:b/>
                <w:bCs/>
                <w:sz w:val="18"/>
                <w:szCs w:val="18"/>
                <w:lang w:val="pt-BR"/>
              </w:rPr>
              <w:t>.</w:t>
            </w:r>
            <w:r>
              <w:rPr>
                <w:rFonts w:ascii="Times New Roman" w:hAnsi="Times New Roman"/>
                <w:b/>
                <w:bCs/>
                <w:sz w:val="18"/>
                <w:szCs w:val="18"/>
              </w:rPr>
              <w:t>173,4</w:t>
            </w:r>
            <w:r>
              <w:rPr>
                <w:rFonts w:hint="default" w:ascii="Times New Roman" w:hAnsi="Times New Roman"/>
                <w:b/>
                <w:bCs/>
                <w:sz w:val="18"/>
                <w:szCs w:val="18"/>
                <w:lang w:val="pt-BR"/>
              </w:rPr>
              <w:t>0</w:t>
            </w:r>
          </w:p>
          <w:p>
            <w:pPr>
              <w:pStyle w:val="173"/>
              <w:spacing w:before="0" w:after="0" w:line="264" w:lineRule="auto"/>
              <w:ind w:left="198" w:right="-15" w:hanging="141"/>
              <w:jc w:val="both"/>
              <w:rPr>
                <w:rFonts w:ascii="Times New Roman" w:hAnsi="Times New Roman"/>
                <w:b/>
                <w:bCs/>
                <w:sz w:val="18"/>
                <w:szCs w:val="18"/>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0" w:after="0" w:line="264" w:lineRule="auto"/>
              <w:ind w:left="198" w:right="-15" w:hanging="141"/>
              <w:jc w:val="both"/>
              <w:rPr>
                <w:rFonts w:ascii="Times New Roman" w:hAnsi="Times New Roman"/>
              </w:rPr>
            </w:pPr>
            <w:r>
              <w:rPr>
                <w:rFonts w:ascii="Times New Roman" w:hAnsi="Times New Roman"/>
                <w:b/>
                <w:bCs/>
                <w:sz w:val="18"/>
                <w:szCs w:val="18"/>
              </w:rPr>
              <w:t>24.346,80</w:t>
            </w:r>
          </w:p>
        </w:tc>
      </w:tr>
      <w:tr>
        <w:tblPrEx>
          <w:tblCellMar>
            <w:top w:w="0" w:type="dxa"/>
            <w:left w:w="7" w:type="dxa"/>
            <w:bottom w:w="0" w:type="dxa"/>
            <w:right w:w="7" w:type="dxa"/>
          </w:tblCellMar>
        </w:tblPrEx>
        <w:trPr>
          <w:trHeight w:val="6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226" w:after="0"/>
              <w:ind w:left="73" w:right="59"/>
              <w:jc w:val="both"/>
              <w:rPr>
                <w:rFonts w:ascii="Times New Roman" w:hAnsi="Times New Roman"/>
                <w:sz w:val="18"/>
                <w:szCs w:val="18"/>
              </w:rPr>
            </w:pPr>
          </w:p>
          <w:p>
            <w:pPr>
              <w:pStyle w:val="173"/>
              <w:spacing w:before="226" w:after="0"/>
              <w:ind w:left="73" w:right="59"/>
              <w:jc w:val="both"/>
              <w:rPr>
                <w:rFonts w:ascii="Times New Roman" w:hAnsi="Times New Roman"/>
              </w:rPr>
            </w:pPr>
            <w:r>
              <w:rPr>
                <w:rFonts w:ascii="Times New Roman" w:hAnsi="Times New Roman"/>
                <w:b/>
                <w:spacing w:val="-5"/>
                <w:kern w:val="0"/>
                <w:sz w:val="18"/>
                <w:szCs w:val="18"/>
                <w:lang w:val="pt-BR" w:eastAsia="en-US" w:bidi="ar-SA"/>
              </w:rPr>
              <w:t>3</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226" w:after="0"/>
              <w:ind w:left="82"/>
              <w:jc w:val="both"/>
              <w:rPr>
                <w:rFonts w:ascii="Times New Roman" w:hAnsi="Times New Roman"/>
              </w:rPr>
            </w:pPr>
            <w:r>
              <w:rPr>
                <w:rFonts w:ascii="Times New Roman" w:hAnsi="Times New Roman"/>
                <w:b/>
                <w:spacing w:val="-2"/>
                <w:kern w:val="0"/>
                <w:sz w:val="18"/>
                <w:szCs w:val="18"/>
                <w:u w:val="single"/>
                <w:lang w:val="pt-BR" w:eastAsia="en-US" w:bidi="ar-SA"/>
              </w:rPr>
              <w:t>NOBREAK 1400VA E/S 115V – 8 TOM. UPS SENOIDAL</w:t>
            </w:r>
          </w:p>
          <w:p>
            <w:pPr>
              <w:pStyle w:val="173"/>
              <w:spacing w:before="226" w:after="0"/>
              <w:ind w:left="82" w:right="132"/>
              <w:jc w:val="both"/>
              <w:rPr>
                <w:rFonts w:ascii="Times New Roman" w:hAnsi="Times New Roman"/>
              </w:rPr>
            </w:pPr>
            <w:r>
              <w:rPr>
                <w:rFonts w:ascii="Times New Roman" w:hAnsi="Times New Roman"/>
                <w:kern w:val="0"/>
                <w:sz w:val="18"/>
                <w:szCs w:val="18"/>
                <w:lang w:eastAsia="en-US" w:bidi="ar-SA"/>
              </w:rPr>
              <w:t>No-break estabilizado de 1.4 Kva, autonomia mínima de 15 minutos - 115V - Tensão de entrada: 115-220 VCA automático em corrente alternada. Tensão de saída de 115 V em corrente alternada, com variação de de ± 5% na ausência da rede elétrica de entrada; Freqüência de 60 Hz (sessenta hertz), com variação máxima de ±0,5% sob variação de ±5% na entrada; Mínimo de 08 tomadas de acordo com a NBR 14136, com fio terra conectado diretamente à entrada e filtro de linha incorporado. Estabilizador microprocessado com 4 estágios de regulação. Deve ter função que corrija a tensão de saída e evite tensões inadequadas aos seus equipamentos (para redes muito altas ou com geradores).</w:t>
            </w:r>
          </w:p>
          <w:p>
            <w:pPr>
              <w:pStyle w:val="173"/>
              <w:spacing w:before="226" w:after="0"/>
              <w:ind w:left="82"/>
              <w:jc w:val="both"/>
              <w:rPr>
                <w:rFonts w:ascii="Times New Roman" w:hAnsi="Times New Roman"/>
              </w:rPr>
            </w:pPr>
            <w:r>
              <w:rPr>
                <w:rFonts w:ascii="Times New Roman" w:hAnsi="Times New Roman"/>
                <w:b/>
                <w:kern w:val="0"/>
                <w:sz w:val="18"/>
                <w:szCs w:val="18"/>
                <w:lang w:val="pt-BR" w:eastAsia="en-US" w:bidi="ar-SA"/>
              </w:rPr>
              <w:t xml:space="preserve">Garantia mínima: 12 </w:t>
            </w:r>
            <w:r>
              <w:rPr>
                <w:rFonts w:ascii="Times New Roman" w:hAnsi="Times New Roman"/>
                <w:b/>
                <w:spacing w:val="-2"/>
                <w:kern w:val="0"/>
                <w:sz w:val="18"/>
                <w:szCs w:val="18"/>
                <w:lang w:val="pt-BR" w:eastAsia="en-US" w:bidi="ar-SA"/>
              </w:rPr>
              <w:t>meses.</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0" w:after="0"/>
              <w:ind w:left="13"/>
              <w:jc w:val="both"/>
              <w:rPr>
                <w:rFonts w:ascii="Times New Roman" w:hAnsi="Times New Roman"/>
              </w:rPr>
            </w:pPr>
            <w:r>
              <w:rPr>
                <w:rFonts w:ascii="Times New Roman" w:hAnsi="Times New Roman"/>
                <w:b/>
                <w:bCs/>
                <w:spacing w:val="-4"/>
                <w:kern w:val="0"/>
                <w:sz w:val="18"/>
                <w:szCs w:val="18"/>
                <w:lang w:val="pt-BR" w:eastAsia="en-US" w:bidi="ar-SA"/>
              </w:rPr>
              <w:t>284976-3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0" w:after="0"/>
              <w:ind w:left="13"/>
              <w:jc w:val="both"/>
              <w:rPr>
                <w:rFonts w:ascii="Times New Roman" w:hAnsi="Times New Roman"/>
              </w:rPr>
            </w:pPr>
            <w:r>
              <w:rPr>
                <w:rFonts w:ascii="Times New Roman" w:hAnsi="Times New Roman"/>
                <w:b/>
                <w:bCs/>
                <w:spacing w:val="-4"/>
                <w:kern w:val="0"/>
                <w:sz w:val="18"/>
                <w:szCs w:val="18"/>
                <w:lang w:val="pt-BR" w:eastAsia="en-US" w:bidi="ar-SA"/>
              </w:rPr>
              <w:t>02</w:t>
            </w:r>
          </w:p>
        </w:tc>
        <w:tc>
          <w:tcPr>
            <w:tcW w:w="832" w:type="dxa"/>
            <w:tcBorders>
              <w:top w:val="single" w:color="000000" w:sz="4" w:space="0"/>
              <w:left w:val="single" w:color="000000" w:sz="4" w:space="0"/>
              <w:bottom w:val="single" w:color="000000" w:sz="4" w:space="0"/>
            </w:tcBorders>
            <w:shd w:val="clear" w:color="auto" w:fill="auto"/>
            <w:vAlign w:val="center"/>
          </w:tcPr>
          <w:p>
            <w:pPr>
              <w:pStyle w:val="173"/>
              <w:spacing w:before="0" w:after="0" w:line="264" w:lineRule="auto"/>
              <w:ind w:left="198" w:right="-15" w:firstLine="0"/>
              <w:jc w:val="both"/>
              <w:rPr>
                <w:rFonts w:ascii="Times New Roman" w:hAnsi="Times New Roman"/>
              </w:rPr>
            </w:pPr>
            <w:r>
              <w:rPr>
                <w:rFonts w:ascii="Times New Roman" w:hAnsi="Times New Roman"/>
                <w:b/>
                <w:bCs/>
                <w:kern w:val="0"/>
                <w:sz w:val="18"/>
                <w:szCs w:val="18"/>
                <w:lang w:val="pt-BR" w:eastAsia="en-US" w:bidi="ar-SA"/>
              </w:rPr>
              <w:t>UN</w:t>
            </w:r>
          </w:p>
        </w:tc>
        <w:tc>
          <w:tcPr>
            <w:tcW w:w="1208" w:type="dxa"/>
            <w:tcBorders>
              <w:top w:val="single" w:color="000000" w:sz="4" w:space="0"/>
              <w:left w:val="single" w:color="000000" w:sz="4" w:space="0"/>
              <w:bottom w:val="single" w:color="000000" w:sz="4" w:space="0"/>
            </w:tcBorders>
            <w:shd w:val="clear" w:color="auto" w:fill="auto"/>
            <w:vAlign w:val="center"/>
          </w:tcPr>
          <w:p>
            <w:pPr>
              <w:pStyle w:val="173"/>
              <w:spacing w:before="0" w:after="0" w:line="264" w:lineRule="auto"/>
              <w:ind w:left="198" w:right="-15" w:hanging="141"/>
              <w:jc w:val="both"/>
              <w:rPr>
                <w:rFonts w:ascii="Times New Roman" w:hAnsi="Times New Roman"/>
              </w:rPr>
            </w:pPr>
            <w:r>
              <w:rPr>
                <w:rFonts w:ascii="Times New Roman" w:hAnsi="Times New Roman"/>
                <w:b/>
                <w:bCs/>
                <w:sz w:val="18"/>
                <w:szCs w:val="18"/>
              </w:rPr>
              <w:t>1622,33</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0" w:after="0" w:line="264" w:lineRule="auto"/>
              <w:ind w:left="198" w:right="-15" w:hanging="141"/>
              <w:jc w:val="both"/>
              <w:rPr>
                <w:rFonts w:hint="default" w:ascii="Times New Roman" w:hAnsi="Times New Roman"/>
                <w:lang w:val="pt-BR"/>
              </w:rPr>
            </w:pPr>
            <w:r>
              <w:rPr>
                <w:rFonts w:ascii="Times New Roman" w:hAnsi="Times New Roman"/>
                <w:b/>
                <w:bCs/>
                <w:sz w:val="18"/>
                <w:szCs w:val="18"/>
              </w:rPr>
              <w:t>3.244,6</w:t>
            </w:r>
            <w:r>
              <w:rPr>
                <w:rFonts w:hint="default" w:ascii="Times New Roman" w:hAnsi="Times New Roman"/>
                <w:b/>
                <w:bCs/>
                <w:sz w:val="18"/>
                <w:szCs w:val="18"/>
                <w:lang w:val="pt-BR"/>
              </w:rPr>
              <w:t>7</w:t>
            </w:r>
          </w:p>
        </w:tc>
      </w:tr>
      <w:tr>
        <w:tblPrEx>
          <w:tblCellMar>
            <w:top w:w="0" w:type="dxa"/>
            <w:left w:w="7" w:type="dxa"/>
            <w:bottom w:w="0" w:type="dxa"/>
            <w:right w:w="7" w:type="dxa"/>
          </w:tblCellMar>
        </w:tblPrEx>
        <w:trPr>
          <w:trHeight w:val="602" w:hRule="atLeast"/>
        </w:trPr>
        <w:tc>
          <w:tcPr>
            <w:tcW w:w="630" w:type="dxa"/>
            <w:tcBorders>
              <w:left w:val="single" w:color="000000" w:sz="4" w:space="0"/>
              <w:bottom w:val="single" w:color="000000" w:sz="4" w:space="0"/>
              <w:right w:val="single" w:color="000000" w:sz="4" w:space="0"/>
            </w:tcBorders>
            <w:shd w:val="clear" w:color="auto" w:fill="auto"/>
            <w:vAlign w:val="center"/>
          </w:tcPr>
          <w:p>
            <w:pPr>
              <w:pStyle w:val="173"/>
              <w:spacing w:before="226" w:after="0"/>
              <w:ind w:left="73" w:right="59"/>
              <w:jc w:val="both"/>
              <w:rPr>
                <w:rFonts w:ascii="Times New Roman" w:hAnsi="Times New Roman"/>
              </w:rPr>
            </w:pPr>
            <w:r>
              <w:rPr>
                <w:rFonts w:ascii="Times New Roman" w:hAnsi="Times New Roman"/>
                <w:sz w:val="18"/>
                <w:szCs w:val="18"/>
              </w:rPr>
              <w:t>4</w:t>
            </w:r>
          </w:p>
        </w:tc>
        <w:tc>
          <w:tcPr>
            <w:tcW w:w="3060" w:type="dxa"/>
            <w:tcBorders>
              <w:left w:val="single" w:color="000000" w:sz="4" w:space="0"/>
              <w:bottom w:val="single" w:color="000000" w:sz="4" w:space="0"/>
              <w:right w:val="single" w:color="000000" w:sz="4" w:space="0"/>
            </w:tcBorders>
            <w:shd w:val="clear" w:color="auto" w:fill="auto"/>
            <w:vAlign w:val="center"/>
          </w:tcPr>
          <w:p>
            <w:pPr>
              <w:spacing w:before="0" w:after="0"/>
              <w:jc w:val="both"/>
              <w:rPr>
                <w:rFonts w:ascii="Times New Roman" w:hAnsi="Times New Roman"/>
              </w:rPr>
            </w:pPr>
            <w:r>
              <w:rPr>
                <w:rFonts w:ascii="Times New Roman" w:hAnsi="Times New Roman"/>
                <w:b/>
                <w:bCs/>
                <w:kern w:val="0"/>
                <w:sz w:val="18"/>
                <w:szCs w:val="18"/>
                <w:u w:val="single"/>
                <w:lang w:val="pt-BR" w:eastAsia="en-US" w:bidi="ar-SA"/>
              </w:rPr>
              <w:t>Câmera Speed Dome:</w:t>
            </w:r>
          </w:p>
          <w:p>
            <w:pPr>
              <w:pStyle w:val="173"/>
              <w:spacing w:before="0" w:after="0"/>
              <w:jc w:val="both"/>
              <w:rPr>
                <w:rFonts w:ascii="Times New Roman" w:hAnsi="Times New Roman"/>
                <w:b/>
                <w:bCs/>
                <w:kern w:val="0"/>
                <w:sz w:val="18"/>
                <w:szCs w:val="18"/>
                <w:u w:val="single"/>
                <w:lang w:val="pt-BR" w:eastAsia="en-US" w:bidi="ar-SA"/>
              </w:rPr>
            </w:pPr>
          </w:p>
          <w:p>
            <w:pPr>
              <w:pStyle w:val="173"/>
              <w:numPr>
                <w:ilvl w:val="0"/>
                <w:numId w:val="13"/>
              </w:numPr>
              <w:spacing w:before="0" w:after="0"/>
              <w:jc w:val="both"/>
              <w:rPr>
                <w:rFonts w:ascii="Times New Roman" w:hAnsi="Times New Roman"/>
              </w:rPr>
            </w:pPr>
            <w:r>
              <w:rPr>
                <w:rFonts w:ascii="Times New Roman" w:hAnsi="Times New Roman"/>
                <w:kern w:val="0"/>
                <w:sz w:val="18"/>
                <w:szCs w:val="18"/>
                <w:lang w:val="pt-BR" w:eastAsia="en-US" w:bidi="ar-SA"/>
              </w:rPr>
              <w:t>Lente focal: 4.8~153mm low light darkfighter 0.005 lux (f1.6)</w:t>
            </w:r>
          </w:p>
          <w:p>
            <w:pPr>
              <w:pStyle w:val="173"/>
              <w:numPr>
                <w:ilvl w:val="0"/>
                <w:numId w:val="13"/>
              </w:numPr>
              <w:spacing w:before="0" w:after="0"/>
              <w:jc w:val="both"/>
              <w:rPr>
                <w:rFonts w:ascii="Times New Roman" w:hAnsi="Times New Roman"/>
              </w:rPr>
            </w:pPr>
            <w:r>
              <w:rPr>
                <w:rFonts w:ascii="Times New Roman" w:hAnsi="Times New Roman"/>
                <w:kern w:val="0"/>
                <w:sz w:val="18"/>
                <w:szCs w:val="18"/>
                <w:lang w:val="pt-BR" w:eastAsia="en-US" w:bidi="ar-SA"/>
              </w:rPr>
              <w:t>resolução 2mp (1920 x 1080) compressão: h.265+/h.265/h.264+/h.264</w:t>
            </w:r>
          </w:p>
          <w:p>
            <w:pPr>
              <w:pStyle w:val="173"/>
              <w:numPr>
                <w:ilvl w:val="0"/>
                <w:numId w:val="13"/>
              </w:numPr>
              <w:spacing w:before="0" w:after="0"/>
              <w:jc w:val="both"/>
              <w:rPr>
                <w:rFonts w:ascii="Times New Roman" w:hAnsi="Times New Roman"/>
              </w:rPr>
            </w:pPr>
            <w:r>
              <w:rPr>
                <w:rFonts w:ascii="Times New Roman" w:hAnsi="Times New Roman"/>
                <w:kern w:val="0"/>
                <w:sz w:val="18"/>
                <w:szCs w:val="18"/>
                <w:lang w:val="pt-BR" w:eastAsia="en-US" w:bidi="ar-SA"/>
              </w:rPr>
              <w:t>analíticos: detecção de movimento, detecção de violação de vídeo, exceção, detecção de intrusão, detecção de cruzamento de linha, detecção de entrada de região, saída de região, detecção, detecção de remoção de objetos, detecção bagagem abandonada</w:t>
            </w:r>
          </w:p>
          <w:p>
            <w:pPr>
              <w:pStyle w:val="173"/>
              <w:numPr>
                <w:ilvl w:val="0"/>
                <w:numId w:val="13"/>
              </w:numPr>
              <w:spacing w:before="0" w:after="0"/>
              <w:jc w:val="both"/>
              <w:rPr>
                <w:rFonts w:ascii="Times New Roman" w:hAnsi="Times New Roman"/>
              </w:rPr>
            </w:pPr>
            <w:r>
              <w:rPr>
                <w:rFonts w:ascii="Times New Roman" w:hAnsi="Times New Roman"/>
                <w:kern w:val="0"/>
                <w:sz w:val="18"/>
                <w:szCs w:val="18"/>
                <w:lang w:val="pt-BR" w:eastAsia="en-US" w:bidi="ar-SA"/>
              </w:rPr>
              <w:t>Faixa de ir: 150 metros</w:t>
            </w:r>
          </w:p>
          <w:p>
            <w:pPr>
              <w:pStyle w:val="173"/>
              <w:numPr>
                <w:ilvl w:val="0"/>
                <w:numId w:val="13"/>
              </w:numPr>
              <w:spacing w:before="0" w:after="0"/>
              <w:jc w:val="both"/>
              <w:rPr>
                <w:rFonts w:ascii="Times New Roman" w:hAnsi="Times New Roman"/>
              </w:rPr>
            </w:pPr>
            <w:r>
              <w:rPr>
                <w:rFonts w:ascii="Times New Roman" w:hAnsi="Times New Roman"/>
                <w:kern w:val="0"/>
                <w:sz w:val="18"/>
                <w:szCs w:val="18"/>
                <w:lang w:val="pt-BR" w:eastAsia="en-US" w:bidi="ar-SA"/>
              </w:rPr>
              <w:t>Ajuste de ângulo: pan ? 0.1~120º / tilt - 0.1~80º / zoom ? 32X velocidade de presets: pan ? 120º / tilt ? 80º</w:t>
            </w:r>
          </w:p>
          <w:p>
            <w:pPr>
              <w:pStyle w:val="173"/>
              <w:numPr>
                <w:ilvl w:val="0"/>
                <w:numId w:val="0"/>
              </w:numPr>
              <w:spacing w:before="0" w:after="0"/>
              <w:ind w:left="720" w:firstLine="0"/>
              <w:jc w:val="both"/>
              <w:rPr>
                <w:rFonts w:ascii="Times New Roman" w:hAnsi="Times New Roman"/>
                <w:kern w:val="0"/>
                <w:sz w:val="18"/>
                <w:szCs w:val="18"/>
                <w:lang w:val="pt-BR" w:eastAsia="en-US" w:bidi="ar-SA"/>
              </w:rPr>
            </w:pPr>
          </w:p>
          <w:p>
            <w:pPr>
              <w:pStyle w:val="173"/>
              <w:spacing w:before="0" w:after="0"/>
              <w:jc w:val="both"/>
              <w:rPr>
                <w:rFonts w:ascii="Times New Roman" w:hAnsi="Times New Roman"/>
              </w:rPr>
            </w:pPr>
            <w:r>
              <w:rPr>
                <w:rFonts w:ascii="Times New Roman" w:hAnsi="Times New Roman"/>
                <w:kern w:val="0"/>
                <w:sz w:val="18"/>
                <w:szCs w:val="18"/>
                <w:lang w:val="pt-BR" w:eastAsia="en-US" w:bidi="ar-SA"/>
              </w:rPr>
              <w:t xml:space="preserve"> Marca de referência: </w:t>
            </w:r>
            <w:r>
              <w:rPr>
                <w:rFonts w:ascii="Times New Roman" w:hAnsi="Times New Roman"/>
                <w:kern w:val="0"/>
                <w:sz w:val="18"/>
                <w:szCs w:val="18"/>
                <w:lang w:eastAsia="en-US" w:bidi="ar-SA"/>
              </w:rPr>
              <w:t>Hikvision;</w:t>
            </w:r>
          </w:p>
          <w:p>
            <w:pPr>
              <w:pStyle w:val="173"/>
              <w:spacing w:before="226" w:after="0"/>
              <w:ind w:left="82"/>
              <w:jc w:val="both"/>
              <w:rPr>
                <w:rFonts w:ascii="Times New Roman" w:hAnsi="Times New Roman"/>
              </w:rPr>
            </w:pPr>
            <w:r>
              <w:rPr>
                <w:rFonts w:ascii="Times New Roman" w:hAnsi="Times New Roman"/>
                <w:b/>
                <w:kern w:val="0"/>
                <w:sz w:val="18"/>
                <w:szCs w:val="18"/>
                <w:lang w:val="pt-BR" w:eastAsia="en-US" w:bidi="ar-SA"/>
              </w:rPr>
              <w:t xml:space="preserve">Garantia mínima: 12 </w:t>
            </w:r>
            <w:r>
              <w:rPr>
                <w:rFonts w:ascii="Times New Roman" w:hAnsi="Times New Roman"/>
                <w:b/>
                <w:spacing w:val="-2"/>
                <w:kern w:val="0"/>
                <w:sz w:val="18"/>
                <w:szCs w:val="18"/>
                <w:lang w:val="pt-BR" w:eastAsia="en-US" w:bidi="ar-SA"/>
              </w:rPr>
              <w:t>meses.</w:t>
            </w:r>
          </w:p>
          <w:p>
            <w:pPr>
              <w:pStyle w:val="173"/>
              <w:spacing w:before="0" w:after="0"/>
              <w:jc w:val="both"/>
              <w:rPr>
                <w:rFonts w:ascii="Times New Roman" w:hAnsi="Times New Roman"/>
                <w:b/>
                <w:bCs/>
                <w:kern w:val="0"/>
                <w:sz w:val="18"/>
                <w:szCs w:val="18"/>
                <w:u w:val="single"/>
                <w:lang w:val="pt-BR" w:eastAsia="en-US" w:bidi="ar-SA"/>
              </w:rPr>
            </w:pPr>
          </w:p>
        </w:tc>
        <w:tc>
          <w:tcPr>
            <w:tcW w:w="1065" w:type="dxa"/>
            <w:tcBorders>
              <w:left w:val="single" w:color="000000" w:sz="4" w:space="0"/>
              <w:bottom w:val="single" w:color="000000" w:sz="4" w:space="0"/>
              <w:right w:val="single" w:color="000000" w:sz="4" w:space="0"/>
            </w:tcBorders>
            <w:shd w:val="clear" w:color="auto" w:fill="auto"/>
            <w:vAlign w:val="center"/>
          </w:tcPr>
          <w:p>
            <w:pPr>
              <w:pStyle w:val="173"/>
              <w:spacing w:before="0" w:after="0"/>
              <w:ind w:left="13"/>
              <w:jc w:val="both"/>
              <w:rPr>
                <w:rFonts w:ascii="Times New Roman" w:hAnsi="Times New Roman"/>
              </w:rPr>
            </w:pPr>
            <w:r>
              <w:rPr>
                <w:rFonts w:ascii="Times New Roman" w:hAnsi="Times New Roman"/>
                <w:b/>
                <w:bCs/>
                <w:spacing w:val="-4"/>
                <w:kern w:val="0"/>
                <w:sz w:val="18"/>
                <w:szCs w:val="18"/>
                <w:lang w:val="pt-BR" w:eastAsia="en-US" w:bidi="ar-SA"/>
              </w:rPr>
              <w:t>00036486</w:t>
            </w:r>
          </w:p>
        </w:tc>
        <w:tc>
          <w:tcPr>
            <w:tcW w:w="525" w:type="dxa"/>
            <w:tcBorders>
              <w:left w:val="single" w:color="000000" w:sz="4" w:space="0"/>
              <w:bottom w:val="single" w:color="000000" w:sz="4" w:space="0"/>
              <w:right w:val="single" w:color="000000" w:sz="4" w:space="0"/>
            </w:tcBorders>
            <w:shd w:val="clear" w:color="auto" w:fill="auto"/>
            <w:vAlign w:val="center"/>
          </w:tcPr>
          <w:p>
            <w:pPr>
              <w:pStyle w:val="173"/>
              <w:spacing w:before="0" w:after="0"/>
              <w:ind w:left="13"/>
              <w:jc w:val="both"/>
              <w:rPr>
                <w:rFonts w:ascii="Times New Roman" w:hAnsi="Times New Roman"/>
              </w:rPr>
            </w:pPr>
            <w:r>
              <w:rPr>
                <w:rFonts w:ascii="Times New Roman" w:hAnsi="Times New Roman"/>
                <w:b/>
                <w:bCs/>
                <w:sz w:val="18"/>
                <w:szCs w:val="18"/>
              </w:rPr>
              <w:t>01</w:t>
            </w:r>
          </w:p>
        </w:tc>
        <w:tc>
          <w:tcPr>
            <w:tcW w:w="832" w:type="dxa"/>
            <w:tcBorders>
              <w:left w:val="single" w:color="000000" w:sz="4" w:space="0"/>
              <w:bottom w:val="single" w:color="000000" w:sz="4" w:space="0"/>
            </w:tcBorders>
            <w:shd w:val="clear" w:color="auto" w:fill="auto"/>
            <w:vAlign w:val="center"/>
          </w:tcPr>
          <w:p>
            <w:pPr>
              <w:pStyle w:val="173"/>
              <w:spacing w:before="0" w:after="0" w:line="264" w:lineRule="auto"/>
              <w:ind w:left="198" w:right="-15" w:hanging="141"/>
              <w:jc w:val="both"/>
              <w:rPr>
                <w:rFonts w:ascii="Times New Roman" w:hAnsi="Times New Roman"/>
              </w:rPr>
            </w:pPr>
            <w:r>
              <w:rPr>
                <w:rFonts w:ascii="Times New Roman" w:hAnsi="Times New Roman"/>
                <w:b/>
                <w:bCs/>
                <w:sz w:val="18"/>
                <w:szCs w:val="18"/>
              </w:rPr>
              <w:t>UN</w:t>
            </w:r>
          </w:p>
        </w:tc>
        <w:tc>
          <w:tcPr>
            <w:tcW w:w="1208" w:type="dxa"/>
            <w:tcBorders>
              <w:left w:val="single" w:color="000000" w:sz="4" w:space="0"/>
              <w:bottom w:val="single" w:color="000000" w:sz="4" w:space="0"/>
            </w:tcBorders>
            <w:shd w:val="clear" w:color="auto" w:fill="auto"/>
            <w:vAlign w:val="center"/>
          </w:tcPr>
          <w:p>
            <w:pPr>
              <w:pStyle w:val="173"/>
              <w:spacing w:before="0" w:after="0" w:line="264" w:lineRule="auto"/>
              <w:ind w:left="198" w:right="-15" w:hanging="141"/>
              <w:jc w:val="both"/>
              <w:rPr>
                <w:rFonts w:ascii="Times New Roman" w:hAnsi="Times New Roman"/>
              </w:rPr>
            </w:pPr>
            <w:r>
              <w:rPr>
                <w:rFonts w:ascii="Times New Roman" w:hAnsi="Times New Roman"/>
                <w:b/>
                <w:bCs/>
                <w:sz w:val="18"/>
                <w:szCs w:val="18"/>
              </w:rPr>
              <w:t>9.090,69</w:t>
            </w:r>
          </w:p>
        </w:tc>
        <w:tc>
          <w:tcPr>
            <w:tcW w:w="1304" w:type="dxa"/>
            <w:tcBorders>
              <w:left w:val="single" w:color="000000" w:sz="4" w:space="0"/>
              <w:bottom w:val="single" w:color="000000" w:sz="4" w:space="0"/>
              <w:right w:val="single" w:color="000000" w:sz="4" w:space="0"/>
            </w:tcBorders>
            <w:shd w:val="clear" w:color="auto" w:fill="auto"/>
            <w:vAlign w:val="center"/>
          </w:tcPr>
          <w:p>
            <w:pPr>
              <w:pStyle w:val="173"/>
              <w:spacing w:before="0" w:after="0" w:line="264" w:lineRule="auto"/>
              <w:ind w:left="198" w:right="-15" w:hanging="141"/>
              <w:jc w:val="both"/>
              <w:rPr>
                <w:rFonts w:ascii="Times New Roman" w:hAnsi="Times New Roman"/>
              </w:rPr>
            </w:pPr>
            <w:r>
              <w:rPr>
                <w:rFonts w:ascii="Times New Roman" w:hAnsi="Times New Roman"/>
                <w:b/>
                <w:bCs/>
                <w:sz w:val="18"/>
                <w:szCs w:val="18"/>
              </w:rPr>
              <w:t>9.090,69</w:t>
            </w:r>
          </w:p>
        </w:tc>
      </w:tr>
      <w:tr>
        <w:tblPrEx>
          <w:tblCellMar>
            <w:top w:w="0" w:type="dxa"/>
            <w:left w:w="7" w:type="dxa"/>
            <w:bottom w:w="0" w:type="dxa"/>
            <w:right w:w="7" w:type="dxa"/>
          </w:tblCellMar>
        </w:tblPrEx>
        <w:trPr>
          <w:trHeight w:val="6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226" w:after="0"/>
              <w:ind w:left="73" w:right="59"/>
              <w:jc w:val="both"/>
              <w:rPr>
                <w:rFonts w:ascii="Times New Roman" w:hAnsi="Times New Roman"/>
              </w:rPr>
            </w:pPr>
            <w:r>
              <w:rPr>
                <w:rFonts w:ascii="Times New Roman" w:hAnsi="Times New Roman"/>
                <w:b/>
                <w:spacing w:val="-5"/>
                <w:kern w:val="0"/>
                <w:sz w:val="22"/>
                <w:szCs w:val="22"/>
                <w:lang w:val="pt-BR" w:eastAsia="en-US" w:bidi="ar-SA"/>
              </w:rPr>
              <w:t>5</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226" w:after="0"/>
              <w:ind w:left="82"/>
              <w:jc w:val="both"/>
              <w:rPr>
                <w:rFonts w:ascii="Times New Roman" w:hAnsi="Times New Roman"/>
              </w:rPr>
            </w:pPr>
            <w:r>
              <w:rPr>
                <w:rFonts w:ascii="Times New Roman" w:hAnsi="Times New Roman"/>
                <w:b/>
                <w:kern w:val="0"/>
                <w:sz w:val="18"/>
                <w:szCs w:val="18"/>
                <w:u w:val="single"/>
                <w:lang w:val="pt-BR" w:eastAsia="en-US" w:bidi="ar-SA"/>
              </w:rPr>
              <w:t xml:space="preserve">CÂMERAS </w:t>
            </w:r>
            <w:r>
              <w:rPr>
                <w:rFonts w:ascii="Times New Roman" w:hAnsi="Times New Roman"/>
                <w:b/>
                <w:spacing w:val="-2"/>
                <w:kern w:val="0"/>
                <w:sz w:val="18"/>
                <w:szCs w:val="18"/>
                <w:u w:val="single"/>
                <w:lang w:val="pt-BR" w:eastAsia="en-US" w:bidi="ar-SA"/>
              </w:rPr>
              <w:t>EXTERNAS E INTERNAS:</w:t>
            </w:r>
          </w:p>
          <w:p>
            <w:pPr>
              <w:pStyle w:val="173"/>
              <w:spacing w:before="226" w:after="0"/>
              <w:ind w:left="82" w:right="132"/>
              <w:jc w:val="both"/>
              <w:rPr>
                <w:rFonts w:ascii="Times New Roman" w:hAnsi="Times New Roman"/>
              </w:rPr>
            </w:pPr>
            <w:r>
              <w:rPr>
                <w:rFonts w:ascii="Times New Roman" w:hAnsi="Times New Roman"/>
                <w:kern w:val="0"/>
                <w:sz w:val="18"/>
                <w:szCs w:val="18"/>
                <w:lang w:val="pt-BR" w:eastAsia="en-US" w:bidi="ar-SA"/>
              </w:rPr>
              <w:t>Câmeras externas FULL HD, ir 20mts, resolução 2 megapixels (1080p), alimentação PoE ativo (IEE 802.3 af), índice de proteção ip67, compressão de vídeo h.265;</w:t>
            </w:r>
          </w:p>
          <w:p>
            <w:pPr>
              <w:pStyle w:val="173"/>
              <w:spacing w:before="226" w:after="0"/>
              <w:ind w:left="82"/>
              <w:jc w:val="both"/>
              <w:rPr>
                <w:rFonts w:ascii="Times New Roman" w:hAnsi="Times New Roman"/>
              </w:rPr>
            </w:pPr>
            <w:r>
              <w:rPr>
                <w:rFonts w:ascii="Times New Roman" w:hAnsi="Times New Roman"/>
                <w:kern w:val="0"/>
                <w:sz w:val="18"/>
                <w:szCs w:val="18"/>
                <w:lang w:val="pt-BR" w:eastAsia="en-US" w:bidi="ar-SA"/>
              </w:rPr>
              <w:t>Os itens deverão contemplar as seguintes especificações:</w:t>
            </w:r>
          </w:p>
          <w:p>
            <w:pPr>
              <w:pStyle w:val="173"/>
              <w:numPr>
                <w:ilvl w:val="0"/>
                <w:numId w:val="14"/>
              </w:numPr>
              <w:spacing w:before="0" w:after="0" w:line="264" w:lineRule="auto"/>
              <w:jc w:val="both"/>
              <w:rPr>
                <w:rFonts w:ascii="Times New Roman" w:hAnsi="Times New Roman"/>
              </w:rPr>
            </w:pPr>
            <w:r>
              <w:rPr>
                <w:rFonts w:ascii="Times New Roman" w:hAnsi="Times New Roman"/>
                <w:kern w:val="0"/>
                <w:sz w:val="18"/>
                <w:szCs w:val="18"/>
                <w:lang w:eastAsia="en-US" w:bidi="ar-SA"/>
              </w:rPr>
              <w:t>Camera ip bullet full hd 2.8mm, 27 unidades;</w:t>
            </w:r>
          </w:p>
          <w:p>
            <w:pPr>
              <w:pStyle w:val="173"/>
              <w:numPr>
                <w:ilvl w:val="0"/>
                <w:numId w:val="14"/>
              </w:numPr>
              <w:spacing w:before="0" w:after="0" w:line="264" w:lineRule="auto"/>
              <w:jc w:val="both"/>
              <w:rPr>
                <w:rFonts w:ascii="Times New Roman" w:hAnsi="Times New Roman"/>
              </w:rPr>
            </w:pPr>
            <w:r>
              <w:rPr>
                <w:rFonts w:ascii="Times New Roman" w:hAnsi="Times New Roman"/>
                <w:kern w:val="0"/>
                <w:sz w:val="18"/>
                <w:szCs w:val="18"/>
                <w:lang w:eastAsia="en-US" w:bidi="ar-SA"/>
              </w:rPr>
              <w:t>Câmera ip dome full hd 2.mp ir 30m lente 2,8mm, 30 unidades;</w:t>
            </w:r>
          </w:p>
          <w:p>
            <w:pPr>
              <w:pStyle w:val="173"/>
              <w:spacing w:before="0" w:after="0" w:line="264" w:lineRule="auto"/>
              <w:ind w:right="132"/>
              <w:jc w:val="both"/>
              <w:rPr>
                <w:rFonts w:ascii="Times New Roman" w:hAnsi="Times New Roman"/>
                <w:kern w:val="0"/>
                <w:sz w:val="18"/>
                <w:szCs w:val="18"/>
                <w:lang w:eastAsia="en-US" w:bidi="ar-SA"/>
              </w:rPr>
            </w:pPr>
          </w:p>
          <w:p>
            <w:pPr>
              <w:pStyle w:val="173"/>
              <w:spacing w:before="0" w:after="0" w:line="264" w:lineRule="auto"/>
              <w:ind w:right="132"/>
              <w:jc w:val="both"/>
              <w:rPr>
                <w:rFonts w:ascii="Times New Roman" w:hAnsi="Times New Roman"/>
              </w:rPr>
            </w:pPr>
            <w:r>
              <w:rPr>
                <w:rFonts w:ascii="Times New Roman" w:hAnsi="Times New Roman"/>
                <w:kern w:val="0"/>
                <w:sz w:val="18"/>
                <w:szCs w:val="18"/>
                <w:lang w:eastAsia="en-US" w:bidi="ar-SA"/>
              </w:rPr>
              <w:t xml:space="preserve"> Marca de referência: Hikvision;</w:t>
            </w:r>
          </w:p>
          <w:p>
            <w:pPr>
              <w:pStyle w:val="173"/>
              <w:spacing w:before="226" w:after="0"/>
              <w:ind w:left="82"/>
              <w:jc w:val="both"/>
              <w:rPr>
                <w:rFonts w:ascii="Times New Roman" w:hAnsi="Times New Roman"/>
                <w:kern w:val="0"/>
                <w:sz w:val="18"/>
                <w:szCs w:val="18"/>
                <w:lang w:val="pt-BR" w:eastAsia="en-US" w:bidi="ar-SA"/>
              </w:rPr>
            </w:pPr>
          </w:p>
          <w:p>
            <w:pPr>
              <w:pStyle w:val="173"/>
              <w:spacing w:before="226" w:after="0"/>
              <w:ind w:left="82"/>
              <w:jc w:val="both"/>
              <w:rPr>
                <w:rFonts w:ascii="Times New Roman" w:hAnsi="Times New Roman"/>
              </w:rPr>
            </w:pPr>
            <w:r>
              <w:rPr>
                <w:rFonts w:ascii="Times New Roman" w:hAnsi="Times New Roman"/>
                <w:b/>
                <w:kern w:val="0"/>
                <w:sz w:val="18"/>
                <w:szCs w:val="18"/>
                <w:lang w:val="pt-BR" w:eastAsia="en-US" w:bidi="ar-SA"/>
              </w:rPr>
              <w:t xml:space="preserve">Garantia mínima: 12 </w:t>
            </w:r>
            <w:r>
              <w:rPr>
                <w:rFonts w:ascii="Times New Roman" w:hAnsi="Times New Roman"/>
                <w:b/>
                <w:spacing w:val="-2"/>
                <w:kern w:val="0"/>
                <w:sz w:val="18"/>
                <w:szCs w:val="18"/>
                <w:lang w:val="pt-BR" w:eastAsia="en-US" w:bidi="ar-SA"/>
              </w:rPr>
              <w:t>meses.</w:t>
            </w:r>
          </w:p>
          <w:p>
            <w:pPr>
              <w:pStyle w:val="173"/>
              <w:spacing w:before="0" w:after="0"/>
              <w:jc w:val="both"/>
              <w:rPr>
                <w:rFonts w:ascii="Times New Roman" w:hAnsi="Times New Roman"/>
                <w:kern w:val="0"/>
                <w:sz w:val="18"/>
                <w:szCs w:val="18"/>
                <w:lang w:val="pt-BR" w:eastAsia="en-US" w:bidi="ar-SA"/>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0" w:after="0"/>
              <w:ind w:left="13"/>
              <w:jc w:val="both"/>
              <w:rPr>
                <w:rFonts w:ascii="Times New Roman" w:hAnsi="Times New Roman"/>
                <w:b/>
                <w:bCs/>
                <w:sz w:val="18"/>
                <w:szCs w:val="18"/>
              </w:rPr>
            </w:pPr>
          </w:p>
          <w:p>
            <w:pPr>
              <w:pStyle w:val="173"/>
              <w:spacing w:before="0" w:after="0"/>
              <w:ind w:left="13"/>
              <w:jc w:val="both"/>
              <w:rPr>
                <w:rFonts w:ascii="Times New Roman" w:hAnsi="Times New Roman"/>
                <w:b/>
                <w:bCs/>
                <w:sz w:val="18"/>
                <w:szCs w:val="18"/>
              </w:rPr>
            </w:pPr>
          </w:p>
          <w:p>
            <w:pPr>
              <w:pStyle w:val="173"/>
              <w:spacing w:before="0" w:after="0"/>
              <w:ind w:left="13"/>
              <w:jc w:val="both"/>
              <w:rPr>
                <w:rFonts w:ascii="Times New Roman" w:hAnsi="Times New Roman"/>
              </w:rPr>
            </w:pPr>
            <w:r>
              <w:rPr>
                <w:rFonts w:ascii="Times New Roman" w:hAnsi="Times New Roman"/>
                <w:b/>
                <w:bCs/>
                <w:spacing w:val="-4"/>
                <w:kern w:val="0"/>
                <w:sz w:val="18"/>
                <w:szCs w:val="18"/>
                <w:lang w:val="pt-BR" w:eastAsia="en-US" w:bidi="ar-SA"/>
              </w:rPr>
              <w:t>00036486</w:t>
            </w:r>
          </w:p>
          <w:p>
            <w:pPr>
              <w:pStyle w:val="173"/>
              <w:spacing w:before="0" w:after="0"/>
              <w:ind w:left="13"/>
              <w:jc w:val="both"/>
              <w:rPr>
                <w:rFonts w:ascii="Times New Roman" w:hAnsi="Times New Roman"/>
                <w:b/>
                <w:bCs/>
                <w:spacing w:val="-4"/>
                <w:kern w:val="0"/>
                <w:sz w:val="18"/>
                <w:szCs w:val="18"/>
                <w:lang w:val="pt-BR" w:eastAsia="en-US" w:bidi="ar-SA"/>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0" w:after="0"/>
              <w:ind w:left="13"/>
              <w:jc w:val="both"/>
              <w:rPr>
                <w:rFonts w:ascii="Times New Roman" w:hAnsi="Times New Roman"/>
                <w:b/>
                <w:bCs/>
                <w:spacing w:val="-4"/>
                <w:kern w:val="0"/>
                <w:sz w:val="18"/>
                <w:szCs w:val="18"/>
                <w:lang w:val="pt-BR" w:eastAsia="en-US" w:bidi="ar-SA"/>
              </w:rPr>
            </w:pPr>
          </w:p>
          <w:p>
            <w:pPr>
              <w:pStyle w:val="173"/>
              <w:spacing w:before="0" w:after="0"/>
              <w:ind w:left="13"/>
              <w:jc w:val="both"/>
              <w:rPr>
                <w:rFonts w:ascii="Times New Roman" w:hAnsi="Times New Roman"/>
              </w:rPr>
            </w:pPr>
            <w:r>
              <w:rPr>
                <w:rFonts w:ascii="Times New Roman" w:hAnsi="Times New Roman"/>
                <w:b/>
                <w:bCs/>
                <w:spacing w:val="-4"/>
                <w:kern w:val="0"/>
                <w:sz w:val="18"/>
                <w:szCs w:val="18"/>
                <w:lang w:val="pt-BR" w:eastAsia="en-US" w:bidi="ar-SA"/>
              </w:rPr>
              <w:t>57</w:t>
            </w:r>
          </w:p>
        </w:tc>
        <w:tc>
          <w:tcPr>
            <w:tcW w:w="832" w:type="dxa"/>
            <w:tcBorders>
              <w:top w:val="single" w:color="000000" w:sz="4" w:space="0"/>
              <w:left w:val="single" w:color="000000" w:sz="4" w:space="0"/>
              <w:bottom w:val="single" w:color="000000" w:sz="4" w:space="0"/>
            </w:tcBorders>
            <w:shd w:val="clear" w:color="auto" w:fill="auto"/>
            <w:vAlign w:val="center"/>
          </w:tcPr>
          <w:p>
            <w:pPr>
              <w:pStyle w:val="173"/>
              <w:spacing w:before="0" w:after="0" w:line="264" w:lineRule="auto"/>
              <w:ind w:left="198" w:right="-15" w:hanging="141"/>
              <w:jc w:val="both"/>
              <w:rPr>
                <w:rFonts w:ascii="Times New Roman" w:hAnsi="Times New Roman"/>
                <w:b/>
                <w:bCs/>
                <w:kern w:val="0"/>
                <w:sz w:val="18"/>
                <w:szCs w:val="18"/>
                <w:lang w:val="pt-BR" w:eastAsia="en-US" w:bidi="ar-SA"/>
              </w:rPr>
            </w:pPr>
          </w:p>
          <w:p>
            <w:pPr>
              <w:pStyle w:val="173"/>
              <w:spacing w:before="0" w:after="0" w:line="264" w:lineRule="auto"/>
              <w:ind w:left="198" w:right="-15" w:firstLine="0"/>
              <w:jc w:val="both"/>
              <w:rPr>
                <w:rFonts w:ascii="Times New Roman" w:hAnsi="Times New Roman"/>
              </w:rPr>
            </w:pPr>
            <w:r>
              <w:rPr>
                <w:rFonts w:ascii="Times New Roman" w:hAnsi="Times New Roman"/>
                <w:b/>
                <w:bCs/>
                <w:kern w:val="0"/>
                <w:sz w:val="18"/>
                <w:szCs w:val="18"/>
                <w:lang w:val="pt-BR" w:eastAsia="en-US" w:bidi="ar-SA"/>
              </w:rPr>
              <w:t>UN</w:t>
            </w:r>
          </w:p>
        </w:tc>
        <w:tc>
          <w:tcPr>
            <w:tcW w:w="1208" w:type="dxa"/>
            <w:tcBorders>
              <w:top w:val="single" w:color="000000" w:sz="4" w:space="0"/>
              <w:left w:val="single" w:color="000000" w:sz="4" w:space="0"/>
              <w:bottom w:val="single" w:color="000000" w:sz="4" w:space="0"/>
            </w:tcBorders>
            <w:shd w:val="clear" w:color="auto" w:fill="auto"/>
            <w:vAlign w:val="center"/>
          </w:tcPr>
          <w:p>
            <w:pPr>
              <w:pStyle w:val="173"/>
              <w:spacing w:before="0" w:after="0" w:line="264" w:lineRule="auto"/>
              <w:ind w:left="198" w:right="-15" w:hanging="141"/>
              <w:jc w:val="both"/>
              <w:rPr>
                <w:rFonts w:ascii="Times New Roman" w:hAnsi="Times New Roman"/>
                <w:b/>
                <w:bCs/>
                <w:sz w:val="18"/>
                <w:szCs w:val="18"/>
              </w:rPr>
            </w:pPr>
          </w:p>
          <w:p>
            <w:pPr>
              <w:pStyle w:val="173"/>
              <w:spacing w:before="0" w:after="0" w:line="264" w:lineRule="auto"/>
              <w:ind w:left="198" w:right="-15" w:hanging="141"/>
              <w:jc w:val="both"/>
              <w:rPr>
                <w:rFonts w:hint="default" w:ascii="Times New Roman" w:hAnsi="Times New Roman"/>
                <w:lang w:val="pt-BR"/>
              </w:rPr>
            </w:pPr>
            <w:r>
              <w:rPr>
                <w:rFonts w:ascii="Times New Roman" w:hAnsi="Times New Roman"/>
                <w:b/>
                <w:bCs/>
                <w:sz w:val="18"/>
                <w:szCs w:val="18"/>
              </w:rPr>
              <w:t>454, 6</w:t>
            </w:r>
            <w:r>
              <w:rPr>
                <w:rFonts w:hint="default" w:ascii="Times New Roman" w:hAnsi="Times New Roman"/>
                <w:b/>
                <w:bCs/>
                <w:sz w:val="18"/>
                <w:szCs w:val="18"/>
                <w:lang w:val="pt-BR"/>
              </w:rPr>
              <w:t>4</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0" w:after="0" w:line="264" w:lineRule="auto"/>
              <w:ind w:left="198" w:right="-15" w:hanging="141"/>
              <w:jc w:val="both"/>
              <w:rPr>
                <w:rFonts w:ascii="Times New Roman" w:hAnsi="Times New Roman"/>
                <w:b/>
                <w:bCs/>
                <w:sz w:val="18"/>
                <w:szCs w:val="18"/>
              </w:rPr>
            </w:pPr>
          </w:p>
          <w:p>
            <w:pPr>
              <w:pStyle w:val="173"/>
              <w:spacing w:before="0" w:after="0" w:line="264" w:lineRule="auto"/>
              <w:ind w:left="198" w:right="-15" w:hanging="141"/>
              <w:jc w:val="both"/>
              <w:rPr>
                <w:rFonts w:ascii="Times New Roman" w:hAnsi="Times New Roman"/>
              </w:rPr>
            </w:pPr>
            <w:r>
              <w:rPr>
                <w:rFonts w:ascii="Times New Roman" w:hAnsi="Times New Roman"/>
                <w:b/>
                <w:bCs/>
                <w:sz w:val="18"/>
                <w:szCs w:val="18"/>
              </w:rPr>
              <w:t>25.914,40</w:t>
            </w:r>
          </w:p>
        </w:tc>
      </w:tr>
      <w:tr>
        <w:tblPrEx>
          <w:tblCellMar>
            <w:top w:w="0" w:type="dxa"/>
            <w:left w:w="7" w:type="dxa"/>
            <w:bottom w:w="0" w:type="dxa"/>
            <w:right w:w="7" w:type="dxa"/>
          </w:tblCellMar>
        </w:tblPrEx>
        <w:trPr>
          <w:trHeight w:val="6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226" w:after="0"/>
              <w:ind w:left="73" w:right="59"/>
              <w:jc w:val="both"/>
              <w:rPr>
                <w:rFonts w:ascii="Times New Roman" w:hAnsi="Times New Roman"/>
              </w:rPr>
            </w:pPr>
            <w:r>
              <w:rPr>
                <w:rFonts w:ascii="Times New Roman" w:hAnsi="Times New Roman"/>
                <w:b/>
                <w:spacing w:val="-5"/>
                <w:kern w:val="0"/>
                <w:sz w:val="22"/>
                <w:szCs w:val="22"/>
                <w:lang w:val="pt-BR" w:eastAsia="en-US" w:bidi="ar-SA"/>
              </w:rPr>
              <w:t>6</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0" w:after="0"/>
              <w:jc w:val="both"/>
              <w:rPr>
                <w:rFonts w:ascii="Times New Roman" w:hAnsi="Times New Roman"/>
              </w:rPr>
            </w:pPr>
            <w:r>
              <w:rPr>
                <w:rFonts w:ascii="Times New Roman" w:hAnsi="Times New Roman"/>
                <w:b/>
                <w:spacing w:val="-2"/>
                <w:kern w:val="0"/>
                <w:sz w:val="18"/>
                <w:szCs w:val="18"/>
                <w:u w:val="single"/>
                <w:lang w:val="pt-BR" w:eastAsia="en-US" w:bidi="ar-SA"/>
              </w:rPr>
              <w:t>MONITOR DE 23,8’ FULL HD:</w:t>
            </w:r>
          </w:p>
          <w:p>
            <w:pPr>
              <w:pStyle w:val="173"/>
              <w:spacing w:before="0" w:after="0"/>
              <w:jc w:val="both"/>
              <w:rPr>
                <w:rFonts w:ascii="Times New Roman" w:hAnsi="Times New Roman"/>
                <w:b/>
                <w:spacing w:val="-2"/>
                <w:kern w:val="0"/>
                <w:sz w:val="18"/>
                <w:szCs w:val="18"/>
                <w:u w:val="single"/>
                <w:lang w:val="pt-BR" w:eastAsia="en-US" w:bidi="ar-SA"/>
              </w:rPr>
            </w:pPr>
          </w:p>
          <w:p>
            <w:pPr>
              <w:pStyle w:val="173"/>
              <w:spacing w:before="0" w:after="0"/>
              <w:jc w:val="both"/>
              <w:rPr>
                <w:rFonts w:ascii="Times New Roman" w:hAnsi="Times New Roman"/>
              </w:rPr>
            </w:pPr>
            <w:r>
              <w:rPr>
                <w:rFonts w:ascii="Times New Roman" w:hAnsi="Times New Roman"/>
                <w:kern w:val="0"/>
                <w:sz w:val="18"/>
                <w:szCs w:val="18"/>
                <w:lang w:eastAsia="en-US" w:bidi="ar-SA"/>
              </w:rPr>
              <w:t>Monitor computador, tamanho tela: 23 a 30 pol, tipo de tela: led, formato tela: widescreen, qualidade de imagem: full hd, interatividade da tela: s em interatividade, ajuste: ajuste de rotação, altura e inclinação do display, alimentação: bivolt;</w:t>
            </w:r>
          </w:p>
          <w:p>
            <w:pPr>
              <w:pStyle w:val="173"/>
              <w:spacing w:before="226" w:after="0"/>
              <w:ind w:left="82"/>
              <w:jc w:val="both"/>
              <w:rPr>
                <w:rFonts w:ascii="Times New Roman" w:hAnsi="Times New Roman"/>
              </w:rPr>
            </w:pPr>
            <w:r>
              <w:rPr>
                <w:rFonts w:ascii="Times New Roman" w:hAnsi="Times New Roman"/>
                <w:b/>
                <w:kern w:val="0"/>
                <w:sz w:val="18"/>
                <w:szCs w:val="18"/>
                <w:lang w:val="pt-BR" w:eastAsia="en-US" w:bidi="ar-SA"/>
              </w:rPr>
              <w:t xml:space="preserve">Garantia mínima: 36 </w:t>
            </w:r>
            <w:r>
              <w:rPr>
                <w:rFonts w:ascii="Times New Roman" w:hAnsi="Times New Roman"/>
                <w:b/>
                <w:spacing w:val="-2"/>
                <w:kern w:val="0"/>
                <w:sz w:val="18"/>
                <w:szCs w:val="18"/>
                <w:lang w:val="pt-BR" w:eastAsia="en-US" w:bidi="ar-SA"/>
              </w:rPr>
              <w:t>meses.</w:t>
            </w:r>
          </w:p>
          <w:p>
            <w:pPr>
              <w:pStyle w:val="173"/>
              <w:spacing w:before="0" w:after="0"/>
              <w:jc w:val="both"/>
              <w:rPr>
                <w:rFonts w:ascii="Times New Roman" w:hAnsi="Times New Roman"/>
                <w:b/>
                <w:kern w:val="0"/>
                <w:sz w:val="18"/>
                <w:szCs w:val="18"/>
                <w:u w:val="single"/>
                <w:lang w:val="pt-BR" w:eastAsia="en-US" w:bidi="ar-SA"/>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0" w:after="0" w:line="264" w:lineRule="auto"/>
              <w:ind w:left="198" w:right="-15" w:hanging="141"/>
              <w:jc w:val="both"/>
              <w:rPr>
                <w:rFonts w:ascii="Times New Roman" w:hAnsi="Times New Roman"/>
                <w:b/>
                <w:bCs/>
                <w:kern w:val="0"/>
                <w:sz w:val="18"/>
                <w:szCs w:val="18"/>
                <w:lang w:val="pt-BR" w:eastAsia="en-US" w:bidi="ar-SA"/>
              </w:rPr>
            </w:pPr>
          </w:p>
          <w:p>
            <w:pPr>
              <w:pStyle w:val="173"/>
              <w:spacing w:before="0" w:after="0" w:line="264" w:lineRule="auto"/>
              <w:ind w:left="198" w:right="-15" w:hanging="141"/>
              <w:jc w:val="both"/>
              <w:rPr>
                <w:rFonts w:ascii="Times New Roman" w:hAnsi="Times New Roman"/>
                <w:b/>
                <w:bCs/>
                <w:kern w:val="0"/>
                <w:sz w:val="18"/>
                <w:szCs w:val="18"/>
                <w:lang w:val="pt-BR" w:eastAsia="en-US" w:bidi="ar-SA"/>
              </w:rPr>
            </w:pPr>
          </w:p>
          <w:p>
            <w:pPr>
              <w:pStyle w:val="173"/>
              <w:spacing w:before="0" w:after="0" w:line="264" w:lineRule="auto"/>
              <w:ind w:left="198" w:right="-15" w:hanging="141"/>
              <w:jc w:val="both"/>
              <w:rPr>
                <w:rFonts w:ascii="Times New Roman" w:hAnsi="Times New Roman"/>
              </w:rPr>
            </w:pPr>
            <w:r>
              <w:rPr>
                <w:rFonts w:ascii="Times New Roman" w:hAnsi="Times New Roman"/>
                <w:b/>
                <w:bCs/>
                <w:kern w:val="0"/>
                <w:sz w:val="18"/>
                <w:szCs w:val="18"/>
                <w:lang w:val="pt-BR" w:eastAsia="en-US" w:bidi="ar-SA"/>
              </w:rPr>
              <w:t>00052263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0" w:after="0"/>
              <w:ind w:left="13"/>
              <w:jc w:val="both"/>
              <w:rPr>
                <w:rFonts w:ascii="Times New Roman" w:hAnsi="Times New Roman"/>
                <w:b/>
                <w:bCs/>
                <w:spacing w:val="-4"/>
                <w:kern w:val="0"/>
                <w:sz w:val="18"/>
                <w:szCs w:val="18"/>
                <w:lang w:val="pt-BR" w:eastAsia="en-US" w:bidi="ar-SA"/>
              </w:rPr>
            </w:pPr>
          </w:p>
          <w:p>
            <w:pPr>
              <w:pStyle w:val="173"/>
              <w:spacing w:before="0" w:after="0"/>
              <w:ind w:left="13"/>
              <w:jc w:val="both"/>
              <w:rPr>
                <w:rFonts w:ascii="Times New Roman" w:hAnsi="Times New Roman"/>
                <w:b/>
                <w:bCs/>
                <w:spacing w:val="-4"/>
                <w:kern w:val="0"/>
                <w:sz w:val="18"/>
                <w:szCs w:val="18"/>
                <w:lang w:val="pt-BR" w:eastAsia="en-US" w:bidi="ar-SA"/>
              </w:rPr>
            </w:pPr>
          </w:p>
          <w:p>
            <w:pPr>
              <w:pStyle w:val="173"/>
              <w:spacing w:before="0" w:after="0"/>
              <w:ind w:left="13"/>
              <w:jc w:val="both"/>
              <w:rPr>
                <w:rFonts w:ascii="Times New Roman" w:hAnsi="Times New Roman"/>
              </w:rPr>
            </w:pPr>
            <w:r>
              <w:rPr>
                <w:rFonts w:ascii="Times New Roman" w:hAnsi="Times New Roman"/>
                <w:b/>
                <w:bCs/>
                <w:spacing w:val="-4"/>
                <w:kern w:val="0"/>
                <w:sz w:val="18"/>
                <w:szCs w:val="18"/>
                <w:lang w:val="pt-BR" w:eastAsia="en-US" w:bidi="ar-SA"/>
              </w:rPr>
              <w:t>04</w:t>
            </w:r>
          </w:p>
        </w:tc>
        <w:tc>
          <w:tcPr>
            <w:tcW w:w="832" w:type="dxa"/>
            <w:tcBorders>
              <w:top w:val="single" w:color="000000" w:sz="4" w:space="0"/>
              <w:left w:val="single" w:color="000000" w:sz="4" w:space="0"/>
              <w:bottom w:val="single" w:color="000000" w:sz="4" w:space="0"/>
            </w:tcBorders>
            <w:shd w:val="clear" w:color="auto" w:fill="auto"/>
            <w:vAlign w:val="center"/>
          </w:tcPr>
          <w:p>
            <w:pPr>
              <w:pStyle w:val="173"/>
              <w:spacing w:before="0" w:after="0" w:line="264" w:lineRule="auto"/>
              <w:ind w:left="198" w:right="-15" w:hanging="141"/>
              <w:jc w:val="both"/>
              <w:rPr>
                <w:rFonts w:ascii="Times New Roman" w:hAnsi="Times New Roman"/>
                <w:b/>
                <w:bCs/>
                <w:kern w:val="0"/>
                <w:sz w:val="18"/>
                <w:szCs w:val="18"/>
                <w:lang w:val="pt-BR" w:eastAsia="en-US" w:bidi="ar-SA"/>
              </w:rPr>
            </w:pPr>
          </w:p>
          <w:p>
            <w:pPr>
              <w:pStyle w:val="173"/>
              <w:spacing w:before="0" w:after="0" w:line="264" w:lineRule="auto"/>
              <w:ind w:left="198" w:right="-15" w:hanging="141"/>
              <w:jc w:val="both"/>
              <w:rPr>
                <w:rFonts w:ascii="Times New Roman" w:hAnsi="Times New Roman"/>
                <w:b/>
                <w:bCs/>
                <w:kern w:val="0"/>
                <w:sz w:val="18"/>
                <w:szCs w:val="18"/>
                <w:lang w:val="pt-BR" w:eastAsia="en-US" w:bidi="ar-SA"/>
              </w:rPr>
            </w:pPr>
          </w:p>
          <w:p>
            <w:pPr>
              <w:pStyle w:val="173"/>
              <w:spacing w:before="0" w:after="0" w:line="264" w:lineRule="auto"/>
              <w:ind w:left="198" w:right="-15" w:hanging="141"/>
              <w:jc w:val="both"/>
              <w:rPr>
                <w:rFonts w:ascii="Times New Roman" w:hAnsi="Times New Roman"/>
              </w:rPr>
            </w:pPr>
            <w:r>
              <w:rPr>
                <w:rFonts w:ascii="Times New Roman" w:hAnsi="Times New Roman"/>
                <w:b/>
                <w:bCs/>
                <w:kern w:val="0"/>
                <w:sz w:val="18"/>
                <w:szCs w:val="18"/>
                <w:lang w:val="pt-BR" w:eastAsia="en-US" w:bidi="ar-SA"/>
              </w:rPr>
              <w:t>UN</w:t>
            </w:r>
          </w:p>
        </w:tc>
        <w:tc>
          <w:tcPr>
            <w:tcW w:w="1208" w:type="dxa"/>
            <w:tcBorders>
              <w:top w:val="single" w:color="000000" w:sz="4" w:space="0"/>
              <w:left w:val="single" w:color="000000" w:sz="4" w:space="0"/>
              <w:bottom w:val="single" w:color="000000" w:sz="4" w:space="0"/>
            </w:tcBorders>
            <w:shd w:val="clear" w:color="auto" w:fill="auto"/>
            <w:vAlign w:val="center"/>
          </w:tcPr>
          <w:p>
            <w:pPr>
              <w:pStyle w:val="173"/>
              <w:spacing w:before="0" w:after="0" w:line="264" w:lineRule="auto"/>
              <w:ind w:left="198" w:right="-15" w:hanging="141"/>
              <w:jc w:val="both"/>
              <w:rPr>
                <w:rFonts w:ascii="Times New Roman" w:hAnsi="Times New Roman"/>
                <w:b/>
                <w:bCs/>
                <w:sz w:val="18"/>
                <w:szCs w:val="18"/>
              </w:rPr>
            </w:pPr>
          </w:p>
          <w:p>
            <w:pPr>
              <w:pStyle w:val="173"/>
              <w:spacing w:before="0" w:after="0" w:line="264" w:lineRule="auto"/>
              <w:ind w:left="198" w:right="-15" w:hanging="141"/>
              <w:jc w:val="both"/>
              <w:rPr>
                <w:rFonts w:ascii="Times New Roman" w:hAnsi="Times New Roman"/>
                <w:b/>
                <w:bCs/>
                <w:sz w:val="18"/>
                <w:szCs w:val="18"/>
              </w:rPr>
            </w:pPr>
          </w:p>
          <w:p>
            <w:pPr>
              <w:pStyle w:val="173"/>
              <w:spacing w:before="0" w:after="0" w:line="264" w:lineRule="auto"/>
              <w:ind w:left="198" w:right="-15" w:hanging="141"/>
              <w:jc w:val="both"/>
              <w:rPr>
                <w:rFonts w:hint="default" w:ascii="Times New Roman" w:hAnsi="Times New Roman"/>
                <w:lang w:val="pt-BR"/>
              </w:rPr>
            </w:pPr>
            <w:r>
              <w:rPr>
                <w:rFonts w:ascii="Times New Roman" w:hAnsi="Times New Roman"/>
                <w:b/>
                <w:bCs/>
                <w:sz w:val="18"/>
                <w:szCs w:val="18"/>
              </w:rPr>
              <w:t>1.618,6</w:t>
            </w:r>
            <w:r>
              <w:rPr>
                <w:rFonts w:hint="default" w:ascii="Times New Roman" w:hAnsi="Times New Roman"/>
                <w:b/>
                <w:bCs/>
                <w:sz w:val="18"/>
                <w:szCs w:val="18"/>
                <w:lang w:val="pt-BR"/>
              </w:rPr>
              <w:t>3</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0" w:after="0" w:line="264" w:lineRule="auto"/>
              <w:ind w:left="198" w:right="-15" w:hanging="141"/>
              <w:jc w:val="both"/>
              <w:rPr>
                <w:rFonts w:ascii="Times New Roman" w:hAnsi="Times New Roman"/>
                <w:b/>
                <w:bCs/>
                <w:sz w:val="18"/>
                <w:szCs w:val="18"/>
              </w:rPr>
            </w:pPr>
          </w:p>
          <w:p>
            <w:pPr>
              <w:pStyle w:val="173"/>
              <w:spacing w:before="0" w:after="0" w:line="264" w:lineRule="auto"/>
              <w:ind w:left="198" w:right="-15" w:hanging="141"/>
              <w:jc w:val="both"/>
              <w:rPr>
                <w:rFonts w:ascii="Times New Roman" w:hAnsi="Times New Roman"/>
                <w:b/>
                <w:bCs/>
                <w:sz w:val="18"/>
                <w:szCs w:val="18"/>
              </w:rPr>
            </w:pPr>
          </w:p>
          <w:p>
            <w:pPr>
              <w:pStyle w:val="173"/>
              <w:spacing w:before="0" w:after="0" w:line="264" w:lineRule="auto"/>
              <w:ind w:left="198" w:right="-15" w:hanging="141"/>
              <w:jc w:val="both"/>
              <w:rPr>
                <w:rFonts w:ascii="Times New Roman" w:hAnsi="Times New Roman"/>
              </w:rPr>
            </w:pPr>
            <w:r>
              <w:rPr>
                <w:rFonts w:ascii="Times New Roman" w:hAnsi="Times New Roman"/>
                <w:b/>
                <w:bCs/>
                <w:sz w:val="18"/>
                <w:szCs w:val="18"/>
              </w:rPr>
              <w:t>6.474,50</w:t>
            </w:r>
          </w:p>
        </w:tc>
      </w:tr>
      <w:tr>
        <w:tblPrEx>
          <w:tblCellMar>
            <w:top w:w="0" w:type="dxa"/>
            <w:left w:w="7" w:type="dxa"/>
            <w:bottom w:w="0" w:type="dxa"/>
            <w:right w:w="7" w:type="dxa"/>
          </w:tblCellMar>
        </w:tblPrEx>
        <w:trPr>
          <w:trHeight w:val="6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226" w:after="0"/>
              <w:ind w:left="73" w:right="59"/>
              <w:jc w:val="both"/>
              <w:rPr>
                <w:rFonts w:ascii="Times New Roman" w:hAnsi="Times New Roman"/>
              </w:rPr>
            </w:pPr>
            <w:r>
              <w:rPr>
                <w:rFonts w:ascii="Times New Roman" w:hAnsi="Times New Roman"/>
                <w:b/>
                <w:spacing w:val="-5"/>
                <w:kern w:val="0"/>
                <w:sz w:val="22"/>
                <w:szCs w:val="22"/>
                <w:lang w:val="pt-BR" w:eastAsia="en-US" w:bidi="ar-SA"/>
              </w:rPr>
              <w:t>7</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0" w:after="0"/>
              <w:jc w:val="both"/>
              <w:rPr>
                <w:rFonts w:ascii="Times New Roman" w:hAnsi="Times New Roman"/>
              </w:rPr>
            </w:pPr>
            <w:r>
              <w:rPr>
                <w:rFonts w:ascii="Times New Roman" w:hAnsi="Times New Roman"/>
                <w:b/>
                <w:bCs/>
                <w:kern w:val="0"/>
                <w:sz w:val="18"/>
                <w:szCs w:val="18"/>
                <w:lang w:eastAsia="en-US" w:bidi="ar-SA"/>
              </w:rPr>
              <w:t>PLACA DE VÍDEO</w:t>
            </w:r>
          </w:p>
          <w:p>
            <w:pPr>
              <w:pStyle w:val="173"/>
              <w:numPr>
                <w:ilvl w:val="0"/>
                <w:numId w:val="15"/>
              </w:numPr>
              <w:spacing w:before="0" w:after="0"/>
              <w:jc w:val="both"/>
              <w:rPr>
                <w:rFonts w:ascii="Times New Roman" w:hAnsi="Times New Roman"/>
              </w:rPr>
            </w:pPr>
            <w:r>
              <w:rPr>
                <w:rFonts w:ascii="Times New Roman" w:hAnsi="Times New Roman"/>
                <w:kern w:val="0"/>
                <w:sz w:val="18"/>
                <w:szCs w:val="18"/>
                <w:lang w:eastAsia="en-US" w:bidi="ar-SA"/>
              </w:rPr>
              <w:t>Características mínimas abaixo:</w:t>
            </w:r>
          </w:p>
          <w:p>
            <w:pPr>
              <w:pStyle w:val="173"/>
              <w:numPr>
                <w:ilvl w:val="0"/>
                <w:numId w:val="15"/>
              </w:numPr>
              <w:spacing w:before="0" w:after="0"/>
              <w:jc w:val="both"/>
              <w:rPr>
                <w:rFonts w:ascii="Times New Roman" w:hAnsi="Times New Roman"/>
              </w:rPr>
            </w:pPr>
            <w:r>
              <w:rPr>
                <w:rFonts w:ascii="Times New Roman" w:hAnsi="Times New Roman"/>
                <w:kern w:val="0"/>
                <w:sz w:val="18"/>
                <w:szCs w:val="18"/>
                <w:lang w:eastAsia="en-US" w:bidi="ar-SA"/>
              </w:rPr>
              <w:t>Modelo: NVIDIA QUADRO T1000;</w:t>
            </w:r>
          </w:p>
          <w:p>
            <w:pPr>
              <w:pStyle w:val="173"/>
              <w:numPr>
                <w:ilvl w:val="0"/>
                <w:numId w:val="15"/>
              </w:numPr>
              <w:spacing w:before="0" w:after="0"/>
              <w:jc w:val="both"/>
              <w:rPr>
                <w:rFonts w:ascii="Times New Roman" w:hAnsi="Times New Roman"/>
              </w:rPr>
            </w:pPr>
            <w:r>
              <w:rPr>
                <w:rFonts w:ascii="Times New Roman" w:hAnsi="Times New Roman"/>
                <w:kern w:val="0"/>
                <w:sz w:val="18"/>
                <w:szCs w:val="18"/>
                <w:lang w:eastAsia="en-US" w:bidi="ar-SA"/>
              </w:rPr>
              <w:t>Memória: 4Gb GDDR5 128bits;</w:t>
            </w:r>
          </w:p>
          <w:p>
            <w:pPr>
              <w:pStyle w:val="173"/>
              <w:numPr>
                <w:ilvl w:val="0"/>
                <w:numId w:val="15"/>
              </w:numPr>
              <w:spacing w:before="0" w:after="0"/>
              <w:jc w:val="both"/>
              <w:rPr>
                <w:rFonts w:ascii="Times New Roman" w:hAnsi="Times New Roman"/>
              </w:rPr>
            </w:pPr>
            <w:r>
              <w:rPr>
                <w:rFonts w:ascii="Times New Roman" w:hAnsi="Times New Roman"/>
                <w:kern w:val="0"/>
                <w:sz w:val="18"/>
                <w:szCs w:val="18"/>
                <w:lang w:eastAsia="en-US" w:bidi="ar-SA"/>
              </w:rPr>
              <w:t>02 (duas) ventoinhas;</w:t>
            </w:r>
          </w:p>
          <w:p>
            <w:pPr>
              <w:pStyle w:val="173"/>
              <w:numPr>
                <w:ilvl w:val="0"/>
                <w:numId w:val="15"/>
              </w:numPr>
              <w:spacing w:before="0" w:after="0"/>
              <w:jc w:val="both"/>
              <w:rPr>
                <w:rFonts w:ascii="Times New Roman" w:hAnsi="Times New Roman"/>
              </w:rPr>
            </w:pPr>
            <w:r>
              <w:rPr>
                <w:rFonts w:ascii="Times New Roman" w:hAnsi="Times New Roman"/>
                <w:kern w:val="0"/>
                <w:sz w:val="18"/>
                <w:szCs w:val="18"/>
                <w:lang w:eastAsia="en-US" w:bidi="ar-SA"/>
              </w:rPr>
              <w:t>Clock da GPU: 8002Mhz;</w:t>
            </w:r>
          </w:p>
          <w:p>
            <w:pPr>
              <w:pStyle w:val="173"/>
              <w:numPr>
                <w:ilvl w:val="0"/>
                <w:numId w:val="15"/>
              </w:numPr>
              <w:spacing w:before="0" w:after="0"/>
              <w:jc w:val="both"/>
              <w:rPr>
                <w:rFonts w:ascii="Times New Roman" w:hAnsi="Times New Roman"/>
              </w:rPr>
            </w:pPr>
            <w:r>
              <w:rPr>
                <w:rFonts w:ascii="Times New Roman" w:hAnsi="Times New Roman"/>
                <w:kern w:val="0"/>
                <w:sz w:val="18"/>
                <w:szCs w:val="18"/>
                <w:lang w:eastAsia="en-US" w:bidi="ar-SA"/>
              </w:rPr>
              <w:t>Saída: 04 Micro Displayport;</w:t>
            </w:r>
          </w:p>
          <w:p>
            <w:pPr>
              <w:pStyle w:val="173"/>
              <w:numPr>
                <w:ilvl w:val="0"/>
                <w:numId w:val="15"/>
              </w:numPr>
              <w:spacing w:before="0" w:after="0"/>
              <w:jc w:val="both"/>
              <w:rPr>
                <w:rFonts w:ascii="Times New Roman" w:hAnsi="Times New Roman"/>
              </w:rPr>
            </w:pPr>
            <w:r>
              <w:rPr>
                <w:rFonts w:ascii="Times New Roman" w:hAnsi="Times New Roman"/>
                <w:kern w:val="0"/>
                <w:sz w:val="18"/>
                <w:szCs w:val="18"/>
                <w:lang w:eastAsia="en-US" w:bidi="ar-SA"/>
              </w:rPr>
              <w:t>Perfil baixo;</w:t>
            </w:r>
          </w:p>
          <w:p>
            <w:pPr>
              <w:pStyle w:val="173"/>
              <w:numPr>
                <w:ilvl w:val="0"/>
                <w:numId w:val="15"/>
              </w:numPr>
              <w:spacing w:before="0" w:after="0"/>
              <w:jc w:val="both"/>
              <w:rPr>
                <w:rFonts w:ascii="Times New Roman" w:hAnsi="Times New Roman"/>
              </w:rPr>
            </w:pPr>
            <w:r>
              <w:rPr>
                <w:rFonts w:ascii="Times New Roman" w:hAnsi="Times New Roman"/>
                <w:kern w:val="0"/>
                <w:sz w:val="18"/>
                <w:szCs w:val="18"/>
                <w:lang w:eastAsia="en-US" w:bidi="ar-SA"/>
              </w:rPr>
              <w:t>Interface: PCI-Express x 16;</w:t>
            </w:r>
          </w:p>
          <w:p>
            <w:pPr>
              <w:pStyle w:val="173"/>
              <w:numPr>
                <w:ilvl w:val="0"/>
                <w:numId w:val="15"/>
              </w:numPr>
              <w:spacing w:before="0" w:after="0"/>
              <w:jc w:val="both"/>
              <w:rPr>
                <w:rFonts w:ascii="Times New Roman" w:hAnsi="Times New Roman"/>
              </w:rPr>
            </w:pPr>
            <w:r>
              <w:rPr>
                <w:rFonts w:ascii="Times New Roman" w:hAnsi="Times New Roman"/>
                <w:kern w:val="0"/>
                <w:sz w:val="18"/>
                <w:szCs w:val="18"/>
                <w:lang w:eastAsia="en-US" w:bidi="ar-SA"/>
              </w:rPr>
              <w:t>Potência: 300 watts.</w:t>
            </w:r>
          </w:p>
          <w:p>
            <w:pPr>
              <w:pStyle w:val="173"/>
              <w:spacing w:before="226" w:after="0"/>
              <w:ind w:left="82"/>
              <w:jc w:val="both"/>
              <w:rPr>
                <w:rFonts w:ascii="Times New Roman" w:hAnsi="Times New Roman"/>
              </w:rPr>
            </w:pPr>
            <w:r>
              <w:rPr>
                <w:rFonts w:ascii="Times New Roman" w:hAnsi="Times New Roman"/>
                <w:b/>
                <w:kern w:val="0"/>
                <w:sz w:val="18"/>
                <w:szCs w:val="18"/>
                <w:lang w:val="pt-BR" w:eastAsia="en-US" w:bidi="ar-SA"/>
              </w:rPr>
              <w:t xml:space="preserve">Garantia mínima: 12 </w:t>
            </w:r>
            <w:r>
              <w:rPr>
                <w:rFonts w:ascii="Times New Roman" w:hAnsi="Times New Roman"/>
                <w:b/>
                <w:spacing w:val="-2"/>
                <w:kern w:val="0"/>
                <w:sz w:val="18"/>
                <w:szCs w:val="18"/>
                <w:lang w:val="pt-BR" w:eastAsia="en-US" w:bidi="ar-SA"/>
              </w:rPr>
              <w:t>meses.</w:t>
            </w:r>
          </w:p>
          <w:p>
            <w:pPr>
              <w:pStyle w:val="173"/>
              <w:spacing w:before="0" w:after="0"/>
              <w:jc w:val="both"/>
              <w:rPr>
                <w:rFonts w:ascii="Times New Roman" w:hAnsi="Times New Roman"/>
                <w:kern w:val="0"/>
                <w:sz w:val="18"/>
                <w:szCs w:val="18"/>
                <w:lang w:val="pt-BR" w:eastAsia="en-US" w:bidi="ar-SA"/>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0" w:after="0"/>
              <w:ind w:left="13"/>
              <w:jc w:val="both"/>
              <w:rPr>
                <w:b/>
                <w:bCs/>
                <w:spacing w:val="-4"/>
                <w:kern w:val="0"/>
                <w:sz w:val="18"/>
                <w:szCs w:val="18"/>
                <w:lang w:val="pt-BR" w:eastAsia="en-US" w:bidi="ar-SA"/>
              </w:rPr>
            </w:pPr>
          </w:p>
          <w:p>
            <w:pPr>
              <w:pStyle w:val="173"/>
              <w:spacing w:before="0" w:after="0"/>
              <w:ind w:left="13"/>
              <w:jc w:val="both"/>
              <w:rPr>
                <w:rFonts w:ascii="Times New Roman" w:hAnsi="Times New Roman"/>
              </w:rPr>
            </w:pPr>
            <w:r>
              <w:rPr>
                <w:rFonts w:ascii="Times New Roman" w:hAnsi="Times New Roman"/>
                <w:b/>
                <w:bCs/>
                <w:spacing w:val="-4"/>
                <w:kern w:val="0"/>
                <w:sz w:val="18"/>
                <w:szCs w:val="18"/>
                <w:lang w:val="pt-BR" w:eastAsia="en-US" w:bidi="ar-SA"/>
              </w:rPr>
              <w:t>00074772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0" w:after="0"/>
              <w:ind w:left="13"/>
              <w:jc w:val="both"/>
              <w:rPr>
                <w:b/>
                <w:bCs/>
                <w:spacing w:val="-4"/>
                <w:kern w:val="0"/>
                <w:sz w:val="18"/>
                <w:szCs w:val="18"/>
                <w:lang w:val="pt-BR" w:eastAsia="en-US" w:bidi="ar-SA"/>
              </w:rPr>
            </w:pPr>
          </w:p>
          <w:p>
            <w:pPr>
              <w:pStyle w:val="173"/>
              <w:spacing w:before="0" w:after="0"/>
              <w:ind w:left="13"/>
              <w:jc w:val="both"/>
              <w:rPr>
                <w:rFonts w:ascii="Times New Roman" w:hAnsi="Times New Roman"/>
              </w:rPr>
            </w:pPr>
            <w:r>
              <w:rPr>
                <w:rFonts w:ascii="Times New Roman" w:hAnsi="Times New Roman"/>
                <w:b/>
                <w:bCs/>
                <w:spacing w:val="-4"/>
                <w:kern w:val="0"/>
                <w:sz w:val="18"/>
                <w:szCs w:val="18"/>
                <w:lang w:val="pt-BR" w:eastAsia="en-US" w:bidi="ar-SA"/>
              </w:rPr>
              <w:t>01</w:t>
            </w:r>
          </w:p>
        </w:tc>
        <w:tc>
          <w:tcPr>
            <w:tcW w:w="832" w:type="dxa"/>
            <w:tcBorders>
              <w:top w:val="single" w:color="000000" w:sz="4" w:space="0"/>
              <w:left w:val="single" w:color="000000" w:sz="4" w:space="0"/>
              <w:bottom w:val="single" w:color="000000" w:sz="4" w:space="0"/>
            </w:tcBorders>
            <w:shd w:val="clear" w:color="auto" w:fill="auto"/>
            <w:vAlign w:val="center"/>
          </w:tcPr>
          <w:p>
            <w:pPr>
              <w:pStyle w:val="173"/>
              <w:spacing w:before="0" w:after="0" w:line="264" w:lineRule="auto"/>
              <w:ind w:left="198" w:right="-15" w:hanging="141"/>
              <w:jc w:val="both"/>
              <w:rPr>
                <w:b/>
                <w:bCs/>
                <w:kern w:val="0"/>
                <w:sz w:val="18"/>
                <w:szCs w:val="18"/>
                <w:lang w:val="pt-BR" w:eastAsia="en-US" w:bidi="ar-SA"/>
              </w:rPr>
            </w:pPr>
          </w:p>
          <w:p>
            <w:pPr>
              <w:pStyle w:val="173"/>
              <w:spacing w:before="0" w:after="0" w:line="264" w:lineRule="auto"/>
              <w:ind w:left="198" w:right="-15" w:hanging="141"/>
              <w:jc w:val="both"/>
              <w:rPr>
                <w:rFonts w:ascii="Times New Roman" w:hAnsi="Times New Roman"/>
              </w:rPr>
            </w:pPr>
            <w:r>
              <w:rPr>
                <w:rFonts w:ascii="Times New Roman" w:hAnsi="Times New Roman"/>
                <w:b/>
                <w:bCs/>
                <w:kern w:val="0"/>
                <w:sz w:val="18"/>
                <w:szCs w:val="18"/>
                <w:lang w:val="pt-BR" w:eastAsia="en-US" w:bidi="ar-SA"/>
              </w:rPr>
              <w:t>UN</w:t>
            </w:r>
          </w:p>
        </w:tc>
        <w:tc>
          <w:tcPr>
            <w:tcW w:w="1208" w:type="dxa"/>
            <w:tcBorders>
              <w:top w:val="single" w:color="000000" w:sz="4" w:space="0"/>
              <w:left w:val="single" w:color="000000" w:sz="4" w:space="0"/>
              <w:bottom w:val="single" w:color="000000" w:sz="4" w:space="0"/>
            </w:tcBorders>
            <w:shd w:val="clear" w:color="auto" w:fill="auto"/>
            <w:vAlign w:val="center"/>
          </w:tcPr>
          <w:p>
            <w:pPr>
              <w:pStyle w:val="173"/>
              <w:spacing w:before="0" w:after="0" w:line="264" w:lineRule="auto"/>
              <w:ind w:left="198" w:right="-15" w:hanging="141"/>
              <w:jc w:val="both"/>
              <w:rPr>
                <w:b/>
                <w:bCs/>
                <w:sz w:val="18"/>
                <w:szCs w:val="18"/>
              </w:rPr>
            </w:pPr>
          </w:p>
          <w:p>
            <w:pPr>
              <w:pStyle w:val="173"/>
              <w:spacing w:before="0" w:after="0" w:line="264" w:lineRule="auto"/>
              <w:ind w:left="198" w:right="-15" w:hanging="141"/>
              <w:jc w:val="both"/>
              <w:rPr>
                <w:rFonts w:hint="default" w:ascii="Times New Roman" w:hAnsi="Times New Roman"/>
                <w:lang w:val="pt-BR"/>
              </w:rPr>
            </w:pPr>
            <w:r>
              <w:rPr>
                <w:rFonts w:ascii="Times New Roman" w:hAnsi="Times New Roman"/>
                <w:b/>
                <w:bCs/>
                <w:sz w:val="18"/>
                <w:szCs w:val="18"/>
              </w:rPr>
              <w:t>2.719,6</w:t>
            </w:r>
            <w:r>
              <w:rPr>
                <w:rFonts w:hint="default" w:ascii="Times New Roman" w:hAnsi="Times New Roman"/>
                <w:b/>
                <w:bCs/>
                <w:sz w:val="18"/>
                <w:szCs w:val="18"/>
                <w:lang w:val="pt-BR"/>
              </w:rPr>
              <w:t>7</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3"/>
              <w:spacing w:before="0" w:after="0" w:line="264" w:lineRule="auto"/>
              <w:ind w:left="198" w:right="-15" w:hanging="141"/>
              <w:jc w:val="both"/>
              <w:rPr>
                <w:b/>
                <w:bCs/>
                <w:sz w:val="18"/>
                <w:szCs w:val="18"/>
              </w:rPr>
            </w:pPr>
          </w:p>
          <w:p>
            <w:pPr>
              <w:pStyle w:val="173"/>
              <w:spacing w:before="0" w:after="0" w:line="264" w:lineRule="auto"/>
              <w:ind w:left="198" w:right="-15" w:hanging="141"/>
              <w:jc w:val="both"/>
              <w:rPr>
                <w:rFonts w:hint="default" w:ascii="Times New Roman" w:hAnsi="Times New Roman"/>
                <w:lang w:val="pt-BR"/>
              </w:rPr>
            </w:pPr>
            <w:r>
              <w:rPr>
                <w:rFonts w:ascii="Times New Roman" w:hAnsi="Times New Roman"/>
                <w:b/>
                <w:bCs/>
                <w:sz w:val="18"/>
                <w:szCs w:val="18"/>
              </w:rPr>
              <w:t>2.719,6</w:t>
            </w:r>
            <w:r>
              <w:rPr>
                <w:rFonts w:hint="default" w:ascii="Times New Roman" w:hAnsi="Times New Roman"/>
                <w:b/>
                <w:bCs/>
                <w:sz w:val="18"/>
                <w:szCs w:val="18"/>
                <w:lang w:val="pt-BR"/>
              </w:rPr>
              <w:t>7</w:t>
            </w:r>
          </w:p>
        </w:tc>
      </w:tr>
    </w:tbl>
    <w:p>
      <w:pPr>
        <w:pStyle w:val="60"/>
        <w:numPr>
          <w:ilvl w:val="0"/>
          <w:numId w:val="0"/>
        </w:numPr>
        <w:ind w:left="426" w:firstLine="0"/>
        <w:jc w:val="both"/>
        <w:rPr>
          <w:rFonts w:ascii="Times New Roman" w:hAnsi="Times New Roman" w:cs="Times New Roman"/>
        </w:rPr>
      </w:pPr>
    </w:p>
    <w:tbl>
      <w:tblPr>
        <w:tblStyle w:val="9"/>
        <w:tblW w:w="5000" w:type="pct"/>
        <w:tblInd w:w="55" w:type="dxa"/>
        <w:tblLayout w:type="fixed"/>
        <w:tblCellMar>
          <w:top w:w="55" w:type="dxa"/>
          <w:left w:w="55" w:type="dxa"/>
          <w:bottom w:w="55" w:type="dxa"/>
          <w:right w:w="55" w:type="dxa"/>
        </w:tblCellMar>
      </w:tblPr>
      <w:tblGrid>
        <w:gridCol w:w="1506"/>
        <w:gridCol w:w="1506"/>
        <w:gridCol w:w="1508"/>
        <w:gridCol w:w="1508"/>
        <w:gridCol w:w="1506"/>
        <w:gridCol w:w="1506"/>
      </w:tblGrid>
      <w:tr>
        <w:tblPrEx>
          <w:tblCellMar>
            <w:top w:w="55" w:type="dxa"/>
            <w:left w:w="55" w:type="dxa"/>
            <w:bottom w:w="55" w:type="dxa"/>
            <w:right w:w="55" w:type="dxa"/>
          </w:tblCellMar>
        </w:tblPrEx>
        <w:tc>
          <w:tcPr>
            <w:tcW w:w="8930" w:type="dxa"/>
            <w:gridSpan w:val="6"/>
            <w:tcBorders>
              <w:top w:val="single" w:color="000000" w:sz="4" w:space="0"/>
              <w:left w:val="single" w:color="000000" w:sz="4" w:space="0"/>
              <w:right w:val="single" w:color="000000" w:sz="4" w:space="0"/>
            </w:tcBorders>
            <w:shd w:val="clear" w:color="auto" w:fill="B2B2B2"/>
          </w:tcPr>
          <w:p>
            <w:pPr>
              <w:pStyle w:val="173"/>
              <w:spacing w:before="226" w:after="0"/>
              <w:ind w:left="73" w:right="59"/>
              <w:jc w:val="center"/>
              <w:rPr>
                <w:rFonts w:ascii="Times New Roman" w:hAnsi="Times New Roman"/>
              </w:rPr>
            </w:pPr>
            <w:r>
              <w:rPr>
                <w:rFonts w:ascii="Times New Roman" w:hAnsi="Times New Roman"/>
                <w:b/>
                <w:bCs/>
                <w:sz w:val="18"/>
                <w:szCs w:val="18"/>
              </w:rPr>
              <w:t>LOTE 02</w:t>
            </w:r>
          </w:p>
        </w:tc>
      </w:tr>
      <w:tr>
        <w:tblPrEx>
          <w:tblCellMar>
            <w:top w:w="55" w:type="dxa"/>
            <w:left w:w="55" w:type="dxa"/>
            <w:bottom w:w="55" w:type="dxa"/>
            <w:right w:w="55" w:type="dxa"/>
          </w:tblCellMar>
        </w:tblPrEx>
        <w:tc>
          <w:tcPr>
            <w:tcW w:w="1488" w:type="dxa"/>
            <w:tcBorders>
              <w:left w:val="single" w:color="000000" w:sz="4" w:space="0"/>
              <w:bottom w:val="single" w:color="000000" w:sz="4" w:space="0"/>
            </w:tcBorders>
          </w:tcPr>
          <w:p>
            <w:pPr>
              <w:pStyle w:val="173"/>
              <w:spacing w:before="226" w:after="0"/>
              <w:ind w:left="73" w:right="59"/>
              <w:jc w:val="center"/>
              <w:rPr>
                <w:rFonts w:ascii="Times New Roman" w:hAnsi="Times New Roman"/>
              </w:rPr>
            </w:pPr>
            <w:r>
              <w:rPr>
                <w:rFonts w:ascii="Times New Roman" w:hAnsi="Times New Roman"/>
                <w:kern w:val="0"/>
                <w:sz w:val="18"/>
                <w:szCs w:val="18"/>
                <w:lang w:eastAsia="en-US" w:bidi="ar-SA"/>
              </w:rPr>
              <w:t>8</w:t>
            </w:r>
          </w:p>
          <w:p>
            <w:pPr>
              <w:pStyle w:val="173"/>
              <w:spacing w:before="226" w:after="0"/>
              <w:ind w:left="73" w:right="59"/>
              <w:jc w:val="center"/>
              <w:rPr>
                <w:rFonts w:ascii="Times New Roman" w:hAnsi="Times New Roman"/>
                <w:kern w:val="0"/>
                <w:lang w:eastAsia="en-US" w:bidi="ar-SA"/>
              </w:rPr>
            </w:pPr>
          </w:p>
        </w:tc>
        <w:tc>
          <w:tcPr>
            <w:tcW w:w="1488" w:type="dxa"/>
            <w:tcBorders>
              <w:left w:val="single" w:color="000000" w:sz="4" w:space="0"/>
              <w:bottom w:val="single" w:color="000000" w:sz="4" w:space="0"/>
            </w:tcBorders>
          </w:tcPr>
          <w:p>
            <w:pPr>
              <w:pStyle w:val="173"/>
              <w:spacing w:before="0" w:after="0"/>
              <w:jc w:val="left"/>
              <w:rPr>
                <w:rFonts w:ascii="Times New Roman" w:hAnsi="Times New Roman"/>
              </w:rPr>
            </w:pPr>
            <w:r>
              <w:rPr>
                <w:rFonts w:ascii="Times New Roman" w:hAnsi="Times New Roman"/>
                <w:b/>
                <w:bCs/>
                <w:kern w:val="0"/>
                <w:sz w:val="18"/>
                <w:szCs w:val="18"/>
                <w:lang w:eastAsia="en-US" w:bidi="ar-SA"/>
              </w:rPr>
              <w:t>INSTALAÇÃO DAS CAMERAS</w:t>
            </w:r>
          </w:p>
          <w:p>
            <w:pPr>
              <w:pStyle w:val="173"/>
              <w:spacing w:before="0" w:after="0"/>
              <w:jc w:val="left"/>
              <w:rPr>
                <w:rFonts w:ascii="Times New Roman" w:hAnsi="Times New Roman"/>
                <w:kern w:val="0"/>
                <w:lang w:eastAsia="en-US" w:bidi="ar-SA"/>
              </w:rPr>
            </w:pPr>
          </w:p>
        </w:tc>
        <w:tc>
          <w:tcPr>
            <w:tcW w:w="1489" w:type="dxa"/>
            <w:tcBorders>
              <w:left w:val="single" w:color="000000" w:sz="4" w:space="0"/>
              <w:bottom w:val="single" w:color="000000" w:sz="4" w:space="0"/>
            </w:tcBorders>
          </w:tcPr>
          <w:p>
            <w:pPr>
              <w:pStyle w:val="173"/>
              <w:spacing w:before="0" w:after="0"/>
              <w:ind w:left="13"/>
              <w:jc w:val="center"/>
              <w:rPr>
                <w:rFonts w:ascii="Times New Roman" w:hAnsi="Times New Roman"/>
              </w:rPr>
            </w:pPr>
            <w:r>
              <w:rPr>
                <w:rFonts w:ascii="Times New Roman" w:hAnsi="Times New Roman"/>
                <w:b/>
                <w:bCs/>
                <w:kern w:val="0"/>
                <w:sz w:val="18"/>
                <w:szCs w:val="18"/>
                <w:lang w:eastAsia="en-US" w:bidi="ar-SA"/>
              </w:rPr>
              <w:t>00025452</w:t>
            </w:r>
          </w:p>
        </w:tc>
        <w:tc>
          <w:tcPr>
            <w:tcW w:w="1489" w:type="dxa"/>
            <w:tcBorders>
              <w:left w:val="single" w:color="000000" w:sz="4" w:space="0"/>
              <w:bottom w:val="single" w:color="000000" w:sz="4" w:space="0"/>
            </w:tcBorders>
          </w:tcPr>
          <w:p>
            <w:pPr>
              <w:pStyle w:val="173"/>
              <w:spacing w:before="0" w:after="0"/>
              <w:ind w:left="13"/>
              <w:jc w:val="center"/>
              <w:rPr>
                <w:rFonts w:ascii="Times New Roman" w:hAnsi="Times New Roman"/>
              </w:rPr>
            </w:pPr>
            <w:r>
              <w:rPr>
                <w:rFonts w:ascii="Times New Roman" w:hAnsi="Times New Roman"/>
                <w:b/>
                <w:bCs/>
                <w:kern w:val="0"/>
                <w:sz w:val="18"/>
                <w:szCs w:val="18"/>
                <w:lang w:eastAsia="en-US" w:bidi="ar-SA"/>
              </w:rPr>
              <w:t>01</w:t>
            </w:r>
          </w:p>
        </w:tc>
        <w:tc>
          <w:tcPr>
            <w:tcW w:w="1488" w:type="dxa"/>
            <w:tcBorders>
              <w:left w:val="single" w:color="000000" w:sz="4" w:space="0"/>
              <w:bottom w:val="single" w:color="000000" w:sz="4" w:space="0"/>
            </w:tcBorders>
          </w:tcPr>
          <w:p>
            <w:pPr>
              <w:pStyle w:val="173"/>
              <w:spacing w:before="0" w:after="0" w:line="264" w:lineRule="auto"/>
              <w:ind w:left="198" w:right="-15" w:hanging="141"/>
              <w:jc w:val="center"/>
              <w:rPr>
                <w:rFonts w:ascii="Times New Roman" w:hAnsi="Times New Roman"/>
              </w:rPr>
            </w:pPr>
            <w:r>
              <w:rPr>
                <w:rFonts w:ascii="Times New Roman" w:hAnsi="Times New Roman"/>
                <w:b/>
                <w:bCs/>
                <w:kern w:val="0"/>
                <w:sz w:val="18"/>
                <w:szCs w:val="18"/>
                <w:lang w:eastAsia="en-US" w:bidi="ar-SA"/>
              </w:rPr>
              <w:t>SRV</w:t>
            </w:r>
          </w:p>
        </w:tc>
        <w:tc>
          <w:tcPr>
            <w:tcW w:w="1488" w:type="dxa"/>
            <w:tcBorders>
              <w:left w:val="single" w:color="000000" w:sz="4" w:space="0"/>
              <w:bottom w:val="single" w:color="000000" w:sz="4" w:space="0"/>
              <w:right w:val="single" w:color="000000" w:sz="4" w:space="0"/>
            </w:tcBorders>
          </w:tcPr>
          <w:p>
            <w:pPr>
              <w:pStyle w:val="173"/>
              <w:spacing w:before="0" w:after="0" w:line="264" w:lineRule="auto"/>
              <w:ind w:left="198" w:right="-15" w:hanging="141"/>
              <w:jc w:val="center"/>
              <w:rPr>
                <w:rFonts w:ascii="Times New Roman" w:hAnsi="Times New Roman"/>
              </w:rPr>
            </w:pPr>
            <w:r>
              <w:rPr>
                <w:rFonts w:ascii="Times New Roman" w:hAnsi="Times New Roman"/>
                <w:b/>
                <w:bCs/>
                <w:sz w:val="18"/>
                <w:szCs w:val="18"/>
              </w:rPr>
              <w:t>15.788,</w:t>
            </w:r>
            <w:r>
              <w:rPr>
                <w:rFonts w:hint="default" w:ascii="Times New Roman" w:hAnsi="Times New Roman"/>
                <w:b/>
                <w:bCs/>
                <w:sz w:val="18"/>
                <w:szCs w:val="18"/>
                <w:lang w:val="pt-BR"/>
              </w:rPr>
              <w:t>8</w:t>
            </w:r>
            <w:r>
              <w:rPr>
                <w:rFonts w:ascii="Times New Roman" w:hAnsi="Times New Roman"/>
                <w:b/>
                <w:bCs/>
                <w:sz w:val="18"/>
                <w:szCs w:val="18"/>
              </w:rPr>
              <w:t>3</w:t>
            </w:r>
          </w:p>
        </w:tc>
      </w:tr>
    </w:tbl>
    <w:p>
      <w:pPr>
        <w:pStyle w:val="60"/>
        <w:numPr>
          <w:ilvl w:val="0"/>
          <w:numId w:val="0"/>
        </w:numPr>
        <w:ind w:left="426" w:firstLine="0"/>
        <w:jc w:val="both"/>
        <w:rPr>
          <w:rFonts w:ascii="Times New Roman" w:hAnsi="Times New Roman" w:cs="Times New Roman"/>
        </w:rPr>
      </w:pPr>
    </w:p>
    <w:tbl>
      <w:tblPr>
        <w:tblStyle w:val="9"/>
        <w:tblW w:w="8979" w:type="dxa"/>
        <w:tblInd w:w="76" w:type="dxa"/>
        <w:tblLayout w:type="fixed"/>
        <w:tblCellMar>
          <w:top w:w="0" w:type="dxa"/>
          <w:left w:w="7" w:type="dxa"/>
          <w:bottom w:w="0" w:type="dxa"/>
          <w:right w:w="7" w:type="dxa"/>
        </w:tblCellMar>
      </w:tblPr>
      <w:tblGrid>
        <w:gridCol w:w="5099"/>
        <w:gridCol w:w="3880"/>
      </w:tblGrid>
      <w:tr>
        <w:tblPrEx>
          <w:tblCellMar>
            <w:top w:w="0" w:type="dxa"/>
            <w:left w:w="7" w:type="dxa"/>
            <w:bottom w:w="0" w:type="dxa"/>
            <w:right w:w="7" w:type="dxa"/>
          </w:tblCellMar>
        </w:tblPrEx>
        <w:trPr>
          <w:trHeight w:val="602" w:hRule="atLeast"/>
        </w:trPr>
        <w:tc>
          <w:tcPr>
            <w:tcW w:w="5099" w:type="dxa"/>
            <w:tcBorders>
              <w:top w:val="single" w:color="000000" w:sz="4" w:space="0"/>
              <w:left w:val="single" w:color="000000" w:sz="4" w:space="0"/>
              <w:bottom w:val="single" w:color="000000" w:sz="4" w:space="0"/>
              <w:right w:val="single" w:color="000000" w:sz="4" w:space="0"/>
            </w:tcBorders>
            <w:shd w:val="clear" w:color="auto" w:fill="B2B2B2"/>
            <w:vAlign w:val="center"/>
          </w:tcPr>
          <w:p>
            <w:pPr>
              <w:pStyle w:val="173"/>
              <w:spacing w:before="226" w:after="0"/>
              <w:ind w:left="73" w:right="59"/>
              <w:jc w:val="center"/>
              <w:rPr>
                <w:rFonts w:ascii="Times New Roman" w:hAnsi="Times New Roman"/>
              </w:rPr>
            </w:pPr>
            <w:r>
              <w:rPr>
                <w:rFonts w:ascii="Times New Roman" w:hAnsi="Times New Roman"/>
                <w:b/>
                <w:bCs/>
                <w:kern w:val="0"/>
                <w:sz w:val="20"/>
                <w:szCs w:val="20"/>
                <w:lang w:eastAsia="en-US" w:bidi="ar-SA"/>
              </w:rPr>
              <w:t>VALOR TOTAL:</w:t>
            </w:r>
          </w:p>
        </w:tc>
        <w:tc>
          <w:tcPr>
            <w:tcW w:w="3880" w:type="dxa"/>
            <w:tcBorders>
              <w:top w:val="single" w:color="000000" w:sz="4" w:space="0"/>
              <w:left w:val="single" w:color="000000" w:sz="4" w:space="0"/>
              <w:bottom w:val="single" w:color="000000" w:sz="4" w:space="0"/>
              <w:right w:val="single" w:color="000000" w:sz="4" w:space="0"/>
            </w:tcBorders>
            <w:shd w:val="clear" w:color="auto" w:fill="B2B2B2"/>
            <w:vAlign w:val="center"/>
          </w:tcPr>
          <w:p>
            <w:pPr>
              <w:pStyle w:val="173"/>
              <w:spacing w:before="0" w:after="0"/>
              <w:ind w:left="13"/>
              <w:jc w:val="both"/>
              <w:rPr>
                <w:rFonts w:ascii="Times New Roman" w:hAnsi="Times New Roman"/>
                <w:kern w:val="0"/>
                <w:sz w:val="20"/>
                <w:szCs w:val="20"/>
                <w:lang w:eastAsia="en-US" w:bidi="ar-SA"/>
              </w:rPr>
            </w:pPr>
          </w:p>
          <w:p>
            <w:pPr>
              <w:pStyle w:val="173"/>
              <w:spacing w:before="0" w:after="0" w:line="240" w:lineRule="auto"/>
              <w:ind w:left="13"/>
              <w:jc w:val="both"/>
              <w:rPr>
                <w:rFonts w:ascii="Times New Roman" w:hAnsi="Times New Roman"/>
              </w:rPr>
            </w:pPr>
            <w:r>
              <w:rPr>
                <w:rFonts w:hint="default" w:ascii="Times New Roman" w:hAnsi="Times New Roman"/>
                <w:b/>
                <w:bCs/>
                <w:kern w:val="0"/>
                <w:sz w:val="20"/>
                <w:szCs w:val="20"/>
                <w:lang w:eastAsia="en-US"/>
              </w:rPr>
              <w:t>R$ 101.149,29 (Cento e um mil, cento e quarenta e nove reais e vinte e nove centavos)</w:t>
            </w:r>
            <w:r>
              <w:rPr>
                <w:rFonts w:ascii="Times New Roman" w:hAnsi="Times New Roman"/>
                <w:b/>
                <w:bCs/>
                <w:kern w:val="0"/>
                <w:sz w:val="20"/>
                <w:szCs w:val="20"/>
                <w:lang w:eastAsia="en-US" w:bidi="ar-SA"/>
              </w:rPr>
              <w:t>.</w:t>
            </w:r>
          </w:p>
          <w:p>
            <w:pPr>
              <w:pStyle w:val="173"/>
              <w:spacing w:before="0" w:after="0"/>
              <w:ind w:left="13"/>
              <w:jc w:val="both"/>
              <w:rPr>
                <w:rFonts w:ascii="Times New Roman" w:hAnsi="Times New Roman"/>
                <w:kern w:val="0"/>
                <w:sz w:val="20"/>
                <w:szCs w:val="20"/>
                <w:lang w:eastAsia="en-US" w:bidi="ar-SA"/>
              </w:rPr>
            </w:pPr>
          </w:p>
        </w:tc>
      </w:tr>
    </w:tbl>
    <w:p>
      <w:pPr>
        <w:pStyle w:val="60"/>
        <w:numPr>
          <w:ilvl w:val="0"/>
          <w:numId w:val="0"/>
        </w:numPr>
        <w:ind w:left="426" w:firstLine="0"/>
        <w:jc w:val="both"/>
        <w:rPr>
          <w:rFonts w:ascii="Times New Roman" w:hAnsi="Times New Roman"/>
        </w:rPr>
      </w:pPr>
    </w:p>
    <w:p>
      <w:pPr>
        <w:pStyle w:val="60"/>
        <w:numPr>
          <w:ilvl w:val="1"/>
          <w:numId w:val="11"/>
        </w:numPr>
        <w:ind w:left="426" w:firstLine="0"/>
        <w:jc w:val="both"/>
        <w:rPr>
          <w:rFonts w:ascii="Times New Roman" w:hAnsi="Times New Roman"/>
        </w:rPr>
      </w:pPr>
      <w:r>
        <w:rPr>
          <w:rFonts w:ascii="Times New Roman" w:hAnsi="Times New Roman" w:cs="Times New Roman"/>
          <w:sz w:val="22"/>
          <w:szCs w:val="22"/>
        </w:rPr>
        <w:t xml:space="preserve"> As solicitações supracitadas seguem anexo e são partes indissociáveis deste Termo de Referência.</w:t>
      </w:r>
    </w:p>
    <w:p>
      <w:pPr>
        <w:pStyle w:val="60"/>
        <w:jc w:val="both"/>
        <w:rPr>
          <w:rFonts w:ascii="Times New Roman" w:hAnsi="Times New Roman"/>
          <w:sz w:val="22"/>
          <w:szCs w:val="22"/>
        </w:rPr>
      </w:pPr>
    </w:p>
    <w:p>
      <w:pPr>
        <w:pStyle w:val="60"/>
        <w:numPr>
          <w:ilvl w:val="0"/>
          <w:numId w:val="11"/>
        </w:numPr>
        <w:jc w:val="both"/>
        <w:rPr>
          <w:rFonts w:ascii="Times New Roman" w:hAnsi="Times New Roman"/>
        </w:rPr>
      </w:pPr>
      <w:r>
        <w:rPr>
          <w:rFonts w:ascii="Times New Roman" w:hAnsi="Times New Roman" w:cs="Times New Roman"/>
          <w:b/>
          <w:bCs/>
          <w:sz w:val="22"/>
          <w:szCs w:val="22"/>
        </w:rPr>
        <w:t>VIGÊNCIA</w:t>
      </w:r>
    </w:p>
    <w:p>
      <w:pPr>
        <w:pStyle w:val="60"/>
        <w:numPr>
          <w:ilvl w:val="1"/>
          <w:numId w:val="11"/>
        </w:numPr>
        <w:jc w:val="both"/>
        <w:rPr>
          <w:rFonts w:ascii="Times New Roman" w:hAnsi="Times New Roman"/>
        </w:rPr>
      </w:pPr>
      <w:r>
        <w:rPr>
          <w:rFonts w:ascii="Times New Roman" w:hAnsi="Times New Roman" w:cs="Times New Roman"/>
          <w:sz w:val="22"/>
          <w:szCs w:val="22"/>
        </w:rPr>
        <w:t>O período de vigência de registro de preço será de 12 (doze) meses, contados a partir da data da assinatura, tendo eficácia legal após a publicação do extrato do contrato no Diário Oficial. Ressalvada a hipótese de prorrogação nos termos do art.57, II da lei Le 14.133, contados da data iniciada no Termo de autorização de início dos serviços.</w:t>
      </w:r>
    </w:p>
    <w:p>
      <w:pPr>
        <w:pStyle w:val="60"/>
        <w:jc w:val="both"/>
        <w:rPr>
          <w:rFonts w:ascii="Times New Roman" w:hAnsi="Times New Roman" w:cs="Times New Roman"/>
          <w:sz w:val="22"/>
          <w:szCs w:val="22"/>
        </w:rPr>
      </w:pPr>
    </w:p>
    <w:p>
      <w:pPr>
        <w:pStyle w:val="60"/>
        <w:numPr>
          <w:ilvl w:val="0"/>
          <w:numId w:val="11"/>
        </w:numPr>
        <w:jc w:val="both"/>
        <w:rPr>
          <w:rFonts w:ascii="Times New Roman" w:hAnsi="Times New Roman"/>
        </w:rPr>
      </w:pPr>
      <w:r>
        <w:rPr>
          <w:rFonts w:ascii="Times New Roman" w:hAnsi="Times New Roman" w:cs="Times New Roman"/>
          <w:b/>
          <w:bCs/>
          <w:sz w:val="22"/>
          <w:szCs w:val="22"/>
        </w:rPr>
        <w:t>CRITÉRIO DE JULGAMENTO</w:t>
      </w:r>
    </w:p>
    <w:p>
      <w:pPr>
        <w:pStyle w:val="60"/>
        <w:numPr>
          <w:ilvl w:val="1"/>
          <w:numId w:val="11"/>
        </w:numPr>
        <w:jc w:val="both"/>
        <w:rPr>
          <w:rFonts w:ascii="Times New Roman" w:hAnsi="Times New Roman"/>
        </w:rPr>
      </w:pPr>
      <w:r>
        <w:rPr>
          <w:rFonts w:ascii="Times New Roman" w:hAnsi="Times New Roman" w:cs="Times New Roman"/>
          <w:sz w:val="22"/>
          <w:szCs w:val="22"/>
        </w:rPr>
        <w:t xml:space="preserve">O critério de julgamento das propostas será o de </w:t>
      </w:r>
      <w:r>
        <w:rPr>
          <w:rFonts w:ascii="Times New Roman" w:hAnsi="Times New Roman" w:cs="Times New Roman"/>
          <w:b/>
          <w:bCs/>
          <w:sz w:val="22"/>
          <w:szCs w:val="22"/>
        </w:rPr>
        <w:t>MENOR VALOR POR LOTE</w:t>
      </w:r>
      <w:r>
        <w:rPr>
          <w:rFonts w:ascii="Times New Roman" w:hAnsi="Times New Roman" w:cs="Times New Roman"/>
          <w:sz w:val="22"/>
          <w:szCs w:val="22"/>
        </w:rPr>
        <w:t>, observadas as seguintes condições:</w:t>
      </w:r>
    </w:p>
    <w:p>
      <w:pPr>
        <w:pStyle w:val="60"/>
        <w:numPr>
          <w:ilvl w:val="0"/>
          <w:numId w:val="2"/>
        </w:numPr>
        <w:jc w:val="both"/>
        <w:rPr>
          <w:rFonts w:ascii="Times New Roman" w:hAnsi="Times New Roman"/>
        </w:rPr>
      </w:pPr>
      <w:r>
        <w:rPr>
          <w:rFonts w:ascii="Times New Roman" w:hAnsi="Times New Roman" w:cs="Times New Roman"/>
          <w:sz w:val="22"/>
          <w:szCs w:val="22"/>
        </w:rPr>
        <w:t>A licitante não deverá apresentar proposta com valores inexequíveis ou superiores ao valor estimado sob pena de desclassificação sumária da proposta;</w:t>
      </w:r>
    </w:p>
    <w:p>
      <w:pPr>
        <w:pStyle w:val="60"/>
        <w:numPr>
          <w:ilvl w:val="0"/>
          <w:numId w:val="2"/>
        </w:numPr>
        <w:jc w:val="both"/>
        <w:rPr>
          <w:rFonts w:ascii="Times New Roman" w:hAnsi="Times New Roman"/>
        </w:rPr>
      </w:pPr>
      <w:r>
        <w:rPr>
          <w:rFonts w:ascii="Times New Roman" w:hAnsi="Times New Roman" w:cs="Times New Roman"/>
          <w:sz w:val="22"/>
          <w:szCs w:val="22"/>
        </w:rPr>
        <w:t xml:space="preserve">Consideração preços inexequíveis aqueles que não venham a ter demonstrada sua viabilidade através de documentação que comprove que os seus custos dos insumos são coerentes com os de mercado e que os coeficientes de produtividade com a execução do objeto do contrato. </w:t>
      </w:r>
    </w:p>
    <w:p>
      <w:pPr>
        <w:pStyle w:val="60"/>
        <w:numPr>
          <w:ilvl w:val="1"/>
          <w:numId w:val="11"/>
        </w:numPr>
        <w:jc w:val="both"/>
        <w:rPr>
          <w:rFonts w:ascii="Times New Roman" w:hAnsi="Times New Roman"/>
        </w:rPr>
      </w:pPr>
      <w:r>
        <w:rPr>
          <w:rFonts w:ascii="Times New Roman" w:hAnsi="Times New Roman" w:cs="Times New Roman"/>
          <w:sz w:val="22"/>
          <w:szCs w:val="22"/>
        </w:rPr>
        <w:t>Após o fechamento da etapa de lances e suspensão da Sessão o Pregoeiro efetuará o julgamento das propostas pelo critério do menor preço unitário por lote, podendo encaminhar contraproposta diretamente a licitante que tenha apresentado lance de menor valor para que seja obtido preço melhor;</w:t>
      </w:r>
    </w:p>
    <w:p>
      <w:pPr>
        <w:pStyle w:val="60"/>
        <w:jc w:val="both"/>
        <w:rPr>
          <w:rFonts w:ascii="Times New Roman" w:hAnsi="Times New Roman" w:cs="Times New Roman"/>
          <w:sz w:val="22"/>
          <w:szCs w:val="22"/>
        </w:rPr>
      </w:pPr>
    </w:p>
    <w:p>
      <w:pPr>
        <w:pStyle w:val="60"/>
        <w:numPr>
          <w:ilvl w:val="0"/>
          <w:numId w:val="11"/>
        </w:numPr>
        <w:jc w:val="both"/>
        <w:rPr>
          <w:rFonts w:ascii="Times New Roman" w:hAnsi="Times New Roman"/>
        </w:rPr>
      </w:pPr>
      <w:r>
        <w:rPr>
          <w:rFonts w:ascii="Times New Roman" w:hAnsi="Times New Roman" w:cs="Times New Roman"/>
          <w:b/>
          <w:bCs/>
          <w:sz w:val="22"/>
          <w:szCs w:val="22"/>
        </w:rPr>
        <w:t>LOCAIS DE INSTALAÇÃO DOS SISTEMAS EXECUÇÃO DOS SERVIÇOS</w:t>
      </w:r>
    </w:p>
    <w:p>
      <w:pPr>
        <w:widowControl w:val="0"/>
        <w:spacing w:before="0" w:after="120"/>
        <w:ind w:left="360"/>
        <w:jc w:val="both"/>
        <w:rPr>
          <w:rFonts w:ascii="Times New Roman" w:hAnsi="Times New Roman"/>
        </w:rPr>
      </w:pPr>
      <w:r>
        <w:rPr>
          <w:rFonts w:ascii="Times New Roman" w:hAnsi="Times New Roman" w:cs="Times New Roman"/>
          <w:sz w:val="22"/>
          <w:szCs w:val="22"/>
        </w:rPr>
        <w:t xml:space="preserve">6.1 A área de abrangência de fornecimento/instalação dos sistemas de segurança eletrônica será nas unidades conforme subitem 2.3. As entregas e instalações objetos deste termo de referência deverão ser executados com base nos quantitativos iniciais propostos de pontos de câmeras, pontos de detecção de intrusão monitoramento para o prédio que recebe o sistema de segurança, devendo seguir as etapas abaixo: </w:t>
      </w:r>
    </w:p>
    <w:p>
      <w:pPr>
        <w:widowControl w:val="0"/>
        <w:spacing w:before="0" w:after="120"/>
        <w:ind w:left="360"/>
        <w:jc w:val="both"/>
        <w:rPr>
          <w:rFonts w:ascii="Times New Roman" w:hAnsi="Times New Roman"/>
        </w:rPr>
      </w:pPr>
      <w:r>
        <w:rPr>
          <w:rFonts w:ascii="Times New Roman" w:hAnsi="Times New Roman" w:cs="Times New Roman"/>
          <w:sz w:val="22"/>
          <w:szCs w:val="22"/>
        </w:rPr>
        <w:t>6.2 Será elaborado projeto ou croqui técnico (que deverá ser aprovado pela Câmara Municipal de Primavera do Leste-MT), onde deverão constar: determinação exata da localização das câmeras de vídeo, entre outros (em razão das reais necessidades locais e das especificações dos equipamentos); Indicação do sistema de interligação (cabeamento) e proteções dos diversos sistemas indicados; bem como das especificações técnicas, tais como: tipos de câmeras e de lentes das mesmas, caixas de proteção (se houver necessidade).</w:t>
      </w:r>
    </w:p>
    <w:p>
      <w:pPr>
        <w:widowControl w:val="0"/>
        <w:spacing w:before="0" w:after="120"/>
        <w:ind w:left="360"/>
        <w:jc w:val="both"/>
        <w:rPr>
          <w:rFonts w:ascii="Times New Roman" w:hAnsi="Times New Roman"/>
        </w:rPr>
      </w:pPr>
      <w:r>
        <w:rPr>
          <w:rFonts w:ascii="Times New Roman" w:hAnsi="Times New Roman" w:cs="Times New Roman"/>
          <w:sz w:val="22"/>
          <w:szCs w:val="22"/>
        </w:rPr>
        <w:t>6.3 Implantação integral do sistema, de acordo com as normas técnicas vigentes, determinações dos fabricantes dos equipamentos e regras deste termo de referência, incluindo execução de toda infraestrutura, testes de funcionamento dos sistemas, acompanhados da fiscalização do contrato, e treinamento dos usuários; Obs. A Contratada terá 45 (quarenta e cinco) dias corridos contados a partir do 5º dia útil para finalizar a instalação do sistema.</w:t>
      </w:r>
    </w:p>
    <w:p>
      <w:pPr>
        <w:pStyle w:val="60"/>
        <w:widowControl w:val="0"/>
        <w:numPr>
          <w:ilvl w:val="0"/>
          <w:numId w:val="11"/>
        </w:numPr>
        <w:spacing w:before="0" w:after="120"/>
        <w:contextualSpacing/>
        <w:jc w:val="both"/>
        <w:rPr>
          <w:rFonts w:ascii="Times New Roman" w:hAnsi="Times New Roman"/>
        </w:rPr>
      </w:pPr>
      <w:r>
        <w:rPr>
          <w:rFonts w:ascii="Times New Roman" w:hAnsi="Times New Roman" w:cs="Times New Roman"/>
          <w:b/>
          <w:bCs/>
          <w:sz w:val="22"/>
          <w:szCs w:val="22"/>
        </w:rPr>
        <w:t>CONSIDERAÇÕES GERAIS</w:t>
      </w:r>
    </w:p>
    <w:p>
      <w:pPr>
        <w:pStyle w:val="60"/>
        <w:widowControl w:val="0"/>
        <w:numPr>
          <w:ilvl w:val="1"/>
          <w:numId w:val="11"/>
        </w:numPr>
        <w:spacing w:before="0" w:after="120"/>
        <w:contextualSpacing/>
        <w:jc w:val="both"/>
        <w:rPr>
          <w:rFonts w:ascii="Times New Roman" w:hAnsi="Times New Roman"/>
        </w:rPr>
      </w:pPr>
      <w:r>
        <w:rPr>
          <w:rFonts w:ascii="Times New Roman" w:hAnsi="Times New Roman" w:cs="Times New Roman"/>
          <w:sz w:val="22"/>
          <w:szCs w:val="22"/>
        </w:rPr>
        <w:t xml:space="preserve">Todas as despesas relativas à legalização dos serviços perante os órgãos municipais, estaduais ou federais, correrão por conta da </w:t>
      </w:r>
      <w:r>
        <w:rPr>
          <w:rFonts w:ascii="Times New Roman" w:hAnsi="Times New Roman" w:cs="Times New Roman"/>
          <w:b/>
          <w:bCs/>
          <w:sz w:val="22"/>
          <w:szCs w:val="22"/>
        </w:rPr>
        <w:t>CONTRATADA</w:t>
      </w:r>
      <w:r>
        <w:rPr>
          <w:rFonts w:ascii="Times New Roman" w:hAnsi="Times New Roman" w:cs="Times New Roman"/>
          <w:sz w:val="22"/>
          <w:szCs w:val="22"/>
        </w:rPr>
        <w:t>;</w:t>
      </w:r>
    </w:p>
    <w:p>
      <w:pPr>
        <w:pStyle w:val="60"/>
        <w:widowControl w:val="0"/>
        <w:numPr>
          <w:ilvl w:val="1"/>
          <w:numId w:val="11"/>
        </w:numPr>
        <w:spacing w:before="0" w:after="120"/>
        <w:contextualSpacing/>
        <w:jc w:val="both"/>
        <w:rPr>
          <w:rFonts w:ascii="Times New Roman" w:hAnsi="Times New Roman"/>
        </w:rPr>
      </w:pPr>
      <w:r>
        <w:rPr>
          <w:rFonts w:ascii="Times New Roman" w:hAnsi="Times New Roman" w:cs="Times New Roman"/>
          <w:sz w:val="22"/>
          <w:szCs w:val="22"/>
        </w:rPr>
        <w:t xml:space="preserve"> Concomitantemente com o contrato de prestação de serviços, assinará também </w:t>
      </w:r>
      <w:r>
        <w:rPr>
          <w:rFonts w:ascii="Times New Roman" w:hAnsi="Times New Roman" w:cs="Times New Roman"/>
          <w:b/>
          <w:bCs/>
          <w:sz w:val="22"/>
          <w:szCs w:val="22"/>
        </w:rPr>
        <w:t>“TERMO DE COMPROMISSO DE MANUTENÇÃO E SIGILO”</w:t>
      </w:r>
      <w:r>
        <w:rPr>
          <w:rFonts w:ascii="Times New Roman" w:hAnsi="Times New Roman" w:cs="Times New Roman"/>
          <w:sz w:val="22"/>
          <w:szCs w:val="22"/>
        </w:rPr>
        <w:t xml:space="preserve">, modelo anexo, que estabelece “condições específicas para regulamentar as obrigações a serem observadas pela </w:t>
      </w:r>
      <w:r>
        <w:rPr>
          <w:rFonts w:ascii="Times New Roman" w:hAnsi="Times New Roman" w:cs="Times New Roman"/>
          <w:b/>
          <w:bCs/>
          <w:sz w:val="22"/>
          <w:szCs w:val="22"/>
        </w:rPr>
        <w:t>CONTRATADA</w:t>
      </w:r>
      <w:r>
        <w:rPr>
          <w:rFonts w:ascii="Times New Roman" w:hAnsi="Times New Roman" w:cs="Times New Roman"/>
          <w:sz w:val="22"/>
          <w:szCs w:val="22"/>
        </w:rPr>
        <w:t xml:space="preserve">, no que diz respeito ao trato de informações sensíveis e sigilosas, disponibilizadas pelo </w:t>
      </w:r>
      <w:r>
        <w:rPr>
          <w:rFonts w:ascii="Times New Roman" w:hAnsi="Times New Roman" w:cs="Times New Roman"/>
          <w:b/>
          <w:bCs/>
          <w:sz w:val="22"/>
          <w:szCs w:val="22"/>
        </w:rPr>
        <w:t>CONTRATANTE</w:t>
      </w:r>
      <w:r>
        <w:rPr>
          <w:rFonts w:ascii="Times New Roman" w:hAnsi="Times New Roman" w:cs="Times New Roman"/>
          <w:sz w:val="22"/>
          <w:szCs w:val="22"/>
        </w:rPr>
        <w:t>”;</w:t>
      </w:r>
    </w:p>
    <w:p>
      <w:pPr>
        <w:pStyle w:val="60"/>
        <w:widowControl w:val="0"/>
        <w:numPr>
          <w:ilvl w:val="1"/>
          <w:numId w:val="11"/>
        </w:numPr>
        <w:spacing w:before="0" w:after="120"/>
        <w:contextualSpacing/>
        <w:jc w:val="both"/>
        <w:rPr>
          <w:rFonts w:ascii="Times New Roman" w:hAnsi="Times New Roman"/>
        </w:rPr>
      </w:pPr>
      <w:r>
        <w:rPr>
          <w:rFonts w:ascii="Times New Roman" w:hAnsi="Times New Roman" w:cs="Times New Roman"/>
          <w:sz w:val="22"/>
          <w:szCs w:val="22"/>
        </w:rPr>
        <w:t xml:space="preserve"> Os serviços serão executados por mão de obra especializada e deverão obedecer rigorosamente às normas e especificações constantes deste termo; às normas da </w:t>
      </w:r>
      <w:r>
        <w:rPr>
          <w:rFonts w:ascii="Times New Roman" w:hAnsi="Times New Roman" w:cs="Times New Roman"/>
          <w:b/>
          <w:bCs/>
          <w:sz w:val="22"/>
          <w:szCs w:val="22"/>
        </w:rPr>
        <w:t>ABNT</w:t>
      </w:r>
      <w:r>
        <w:rPr>
          <w:rFonts w:ascii="Times New Roman" w:hAnsi="Times New Roman" w:cs="Times New Roman"/>
          <w:sz w:val="22"/>
          <w:szCs w:val="22"/>
        </w:rPr>
        <w:t>; aos regulamentos das empresas concessionárias; às prescrições e recomendações dos fabricantes relativamente ao emprego, uso, transporte e armazenagem do produto.</w:t>
      </w:r>
    </w:p>
    <w:p>
      <w:pPr>
        <w:pStyle w:val="60"/>
        <w:widowControl w:val="0"/>
        <w:numPr>
          <w:ilvl w:val="1"/>
          <w:numId w:val="11"/>
        </w:numPr>
        <w:spacing w:before="0" w:after="120"/>
        <w:contextualSpacing/>
        <w:jc w:val="both"/>
        <w:rPr>
          <w:rFonts w:ascii="Times New Roman" w:hAnsi="Times New Roman"/>
        </w:rPr>
      </w:pPr>
      <w:r>
        <w:rPr>
          <w:rFonts w:ascii="Times New Roman" w:hAnsi="Times New Roman" w:cs="Times New Roman"/>
          <w:sz w:val="22"/>
          <w:szCs w:val="22"/>
        </w:rPr>
        <w:t xml:space="preserve"> Somente serão aceitos materiais, peças e ferramentas compatíveis com a aplicação a que se destinam. Serão recusados pela </w:t>
      </w:r>
      <w:r>
        <w:rPr>
          <w:rFonts w:ascii="Times New Roman" w:hAnsi="Times New Roman" w:cs="Times New Roman"/>
          <w:b/>
          <w:bCs/>
          <w:sz w:val="22"/>
          <w:szCs w:val="22"/>
        </w:rPr>
        <w:t>FISCALIZAÇÃO</w:t>
      </w:r>
      <w:r>
        <w:rPr>
          <w:rFonts w:ascii="Times New Roman" w:hAnsi="Times New Roman" w:cs="Times New Roman"/>
          <w:sz w:val="22"/>
          <w:szCs w:val="22"/>
        </w:rPr>
        <w:t xml:space="preserve"> os que se encontrarem fora de especificação.</w:t>
      </w:r>
    </w:p>
    <w:p>
      <w:pPr>
        <w:pStyle w:val="60"/>
        <w:widowControl w:val="0"/>
        <w:numPr>
          <w:ilvl w:val="1"/>
          <w:numId w:val="11"/>
        </w:numPr>
        <w:spacing w:before="0" w:after="120"/>
        <w:contextualSpacing/>
        <w:jc w:val="both"/>
        <w:rPr>
          <w:rFonts w:ascii="Times New Roman" w:hAnsi="Times New Roman"/>
        </w:rPr>
      </w:pPr>
      <w:r>
        <w:rPr>
          <w:rFonts w:ascii="Times New Roman" w:hAnsi="Times New Roman" w:cs="Times New Roman"/>
          <w:sz w:val="22"/>
          <w:szCs w:val="22"/>
        </w:rPr>
        <w:t xml:space="preserve">Durante a execução dos serviços quando se fizer necessário e imprescindível a mudança nas especificações ou substituição de algum material por seu equivalente, por iniciativa da </w:t>
      </w:r>
      <w:r>
        <w:rPr>
          <w:rFonts w:ascii="Times New Roman" w:hAnsi="Times New Roman" w:cs="Times New Roman"/>
          <w:b/>
          <w:bCs/>
          <w:sz w:val="22"/>
          <w:szCs w:val="22"/>
        </w:rPr>
        <w:t>CONTRATADA</w:t>
      </w:r>
      <w:r>
        <w:rPr>
          <w:rFonts w:ascii="Times New Roman" w:hAnsi="Times New Roman" w:cs="Times New Roman"/>
          <w:sz w:val="22"/>
          <w:szCs w:val="22"/>
        </w:rPr>
        <w:t xml:space="preserve">, esta apresentará solicitação escrita, minuciosamente justificada, além de catálogos e ensaios técnicos emitidos por laboratório qualificado. Entende-se por equivalente o material ou equipamento que tem a mesma função e om mesmo desempenho técnico. As solicitações serão feitas em tempo hábil para que não venha prejudicar o andamento dos serviços e não dará causa a possíveis prorrogações de prazo. A </w:t>
      </w:r>
      <w:r>
        <w:rPr>
          <w:rFonts w:ascii="Times New Roman" w:hAnsi="Times New Roman" w:cs="Times New Roman"/>
          <w:b/>
          <w:bCs/>
          <w:sz w:val="22"/>
          <w:szCs w:val="22"/>
        </w:rPr>
        <w:t>FISCALIZAÇÃO</w:t>
      </w:r>
      <w:r>
        <w:rPr>
          <w:rFonts w:ascii="Times New Roman" w:hAnsi="Times New Roman" w:cs="Times New Roman"/>
          <w:sz w:val="22"/>
          <w:szCs w:val="22"/>
        </w:rPr>
        <w:t xml:space="preserve"> compete decidir a respeito da substituição;</w:t>
      </w:r>
    </w:p>
    <w:p>
      <w:pPr>
        <w:pStyle w:val="60"/>
        <w:widowControl w:val="0"/>
        <w:numPr>
          <w:ilvl w:val="1"/>
          <w:numId w:val="11"/>
        </w:numPr>
        <w:spacing w:before="0" w:after="120"/>
        <w:contextualSpacing/>
        <w:jc w:val="both"/>
        <w:rPr>
          <w:rFonts w:ascii="Times New Roman" w:hAnsi="Times New Roman"/>
        </w:rPr>
      </w:pPr>
      <w:r>
        <w:rPr>
          <w:rFonts w:ascii="Times New Roman" w:hAnsi="Times New Roman" w:cs="Times New Roman"/>
          <w:sz w:val="22"/>
          <w:szCs w:val="22"/>
        </w:rPr>
        <w:t xml:space="preserve"> O depósito de materiais e equipamentos deverá ser instalado em local previamente aprovado e sob a responsabilidade da </w:t>
      </w:r>
      <w:r>
        <w:rPr>
          <w:rFonts w:ascii="Times New Roman" w:hAnsi="Times New Roman" w:cs="Times New Roman"/>
          <w:b/>
          <w:bCs/>
          <w:sz w:val="22"/>
          <w:szCs w:val="22"/>
        </w:rPr>
        <w:t>CONTRATADA</w:t>
      </w:r>
      <w:r>
        <w:rPr>
          <w:rFonts w:ascii="Times New Roman" w:hAnsi="Times New Roman" w:cs="Times New Roman"/>
          <w:sz w:val="22"/>
          <w:szCs w:val="22"/>
        </w:rPr>
        <w:t xml:space="preserve">, sendo a mesma obrigada a providenciar para estas áreas os dispositivos adequados à proteção contra incêndios determinados pelos órgãos competentes; </w:t>
      </w:r>
    </w:p>
    <w:p>
      <w:pPr>
        <w:pStyle w:val="60"/>
        <w:widowControl w:val="0"/>
        <w:numPr>
          <w:ilvl w:val="1"/>
          <w:numId w:val="11"/>
        </w:numPr>
        <w:spacing w:before="0" w:after="120"/>
        <w:contextualSpacing/>
        <w:jc w:val="both"/>
        <w:rPr>
          <w:rFonts w:ascii="Times New Roman" w:hAnsi="Times New Roman"/>
        </w:rPr>
      </w:pPr>
      <w:r>
        <w:rPr>
          <w:rFonts w:ascii="Times New Roman" w:hAnsi="Times New Roman" w:cs="Times New Roman"/>
          <w:sz w:val="22"/>
          <w:szCs w:val="22"/>
        </w:rPr>
        <w:t xml:space="preserve">O controle de qualidade e outros controles exigidos pela </w:t>
      </w:r>
      <w:r>
        <w:rPr>
          <w:rFonts w:ascii="Times New Roman" w:hAnsi="Times New Roman" w:cs="Times New Roman"/>
          <w:b/>
          <w:bCs/>
          <w:sz w:val="22"/>
          <w:szCs w:val="22"/>
        </w:rPr>
        <w:t>FISCALIZAÇÃO</w:t>
      </w:r>
      <w:r>
        <w:rPr>
          <w:rFonts w:ascii="Times New Roman" w:hAnsi="Times New Roman" w:cs="Times New Roman"/>
          <w:sz w:val="22"/>
          <w:szCs w:val="22"/>
        </w:rPr>
        <w:t xml:space="preserve"> não eximem a </w:t>
      </w:r>
      <w:r>
        <w:rPr>
          <w:rFonts w:ascii="Times New Roman" w:hAnsi="Times New Roman" w:cs="Times New Roman"/>
          <w:b/>
          <w:bCs/>
          <w:sz w:val="22"/>
          <w:szCs w:val="22"/>
        </w:rPr>
        <w:t>CONTRATADA</w:t>
      </w:r>
      <w:r>
        <w:rPr>
          <w:rFonts w:ascii="Times New Roman" w:hAnsi="Times New Roman" w:cs="Times New Roman"/>
          <w:sz w:val="22"/>
          <w:szCs w:val="22"/>
        </w:rPr>
        <w:t xml:space="preserve"> da total e irrestrita responsabilidade pelos serviços executados.</w:t>
      </w:r>
    </w:p>
    <w:p>
      <w:pPr>
        <w:pStyle w:val="60"/>
        <w:widowControl w:val="0"/>
        <w:numPr>
          <w:ilvl w:val="1"/>
          <w:numId w:val="11"/>
        </w:numPr>
        <w:spacing w:before="0" w:after="120"/>
        <w:contextualSpacing/>
        <w:jc w:val="both"/>
        <w:rPr>
          <w:rFonts w:ascii="Times New Roman" w:hAnsi="Times New Roman"/>
        </w:rPr>
      </w:pPr>
      <w:r>
        <w:rPr>
          <w:rFonts w:ascii="Times New Roman" w:hAnsi="Times New Roman" w:cs="Times New Roman"/>
          <w:sz w:val="22"/>
          <w:szCs w:val="22"/>
        </w:rPr>
        <w:t xml:space="preserve">Todos os serviços executados no interior do edifício, ou que ameace bens no interior deste, deverão ser precedidos de proteção (com lona impermeável) dos locais, objetos e materiais do </w:t>
      </w:r>
      <w:r>
        <w:rPr>
          <w:rFonts w:ascii="Times New Roman" w:hAnsi="Times New Roman" w:cs="Times New Roman"/>
          <w:b/>
          <w:bCs/>
          <w:sz w:val="22"/>
          <w:szCs w:val="22"/>
        </w:rPr>
        <w:t>ÓRGÃO.</w:t>
      </w:r>
      <w:r>
        <w:rPr>
          <w:rFonts w:ascii="Times New Roman" w:hAnsi="Times New Roman" w:cs="Times New Roman"/>
          <w:sz w:val="22"/>
          <w:szCs w:val="22"/>
        </w:rPr>
        <w:t xml:space="preserve"> Caso necessário, a </w:t>
      </w:r>
      <w:r>
        <w:rPr>
          <w:rFonts w:ascii="Times New Roman" w:hAnsi="Times New Roman" w:cs="Times New Roman"/>
          <w:b/>
          <w:bCs/>
          <w:sz w:val="22"/>
          <w:szCs w:val="22"/>
        </w:rPr>
        <w:t>CONTRATADA</w:t>
      </w:r>
      <w:r>
        <w:rPr>
          <w:rFonts w:ascii="Times New Roman" w:hAnsi="Times New Roman" w:cs="Times New Roman"/>
          <w:sz w:val="22"/>
          <w:szCs w:val="22"/>
        </w:rPr>
        <w:t xml:space="preserve"> providenciará o remanejamento destes para local protegido indicado pela </w:t>
      </w:r>
      <w:r>
        <w:rPr>
          <w:rFonts w:ascii="Times New Roman" w:hAnsi="Times New Roman" w:cs="Times New Roman"/>
          <w:b/>
          <w:bCs/>
          <w:sz w:val="22"/>
          <w:szCs w:val="22"/>
        </w:rPr>
        <w:t>FISCALIZAÇÃO</w:t>
      </w:r>
      <w:r>
        <w:rPr>
          <w:rFonts w:ascii="Times New Roman" w:hAnsi="Times New Roman" w:cs="Times New Roman"/>
          <w:sz w:val="22"/>
          <w:szCs w:val="22"/>
        </w:rPr>
        <w:t>.</w:t>
      </w:r>
    </w:p>
    <w:p>
      <w:pPr>
        <w:pStyle w:val="60"/>
        <w:widowControl w:val="0"/>
        <w:spacing w:before="0" w:after="120"/>
        <w:contextualSpacing/>
        <w:jc w:val="both"/>
        <w:rPr>
          <w:rFonts w:ascii="Times New Roman" w:hAnsi="Times New Roman" w:cs="Times New Roman"/>
          <w:sz w:val="22"/>
          <w:szCs w:val="22"/>
        </w:rPr>
      </w:pPr>
    </w:p>
    <w:p>
      <w:pPr>
        <w:pStyle w:val="60"/>
        <w:widowControl w:val="0"/>
        <w:numPr>
          <w:ilvl w:val="0"/>
          <w:numId w:val="11"/>
        </w:numPr>
        <w:spacing w:before="0" w:after="120"/>
        <w:contextualSpacing/>
        <w:jc w:val="both"/>
        <w:rPr>
          <w:rFonts w:ascii="Times New Roman" w:hAnsi="Times New Roman"/>
        </w:rPr>
      </w:pPr>
      <w:r>
        <w:rPr>
          <w:rFonts w:ascii="Times New Roman" w:hAnsi="Times New Roman" w:cs="Times New Roman"/>
          <w:b/>
          <w:bCs/>
          <w:sz w:val="22"/>
          <w:szCs w:val="22"/>
        </w:rPr>
        <w:t>SISTEMAS DE CFTV</w:t>
      </w:r>
    </w:p>
    <w:p>
      <w:pPr>
        <w:pStyle w:val="60"/>
        <w:widowControl w:val="0"/>
        <w:numPr>
          <w:ilvl w:val="1"/>
          <w:numId w:val="11"/>
        </w:numPr>
        <w:spacing w:before="0" w:after="120"/>
        <w:contextualSpacing/>
        <w:jc w:val="both"/>
        <w:rPr>
          <w:rFonts w:ascii="Times New Roman" w:hAnsi="Times New Roman"/>
        </w:rPr>
      </w:pPr>
      <w:r>
        <w:rPr>
          <w:rFonts w:ascii="Times New Roman" w:hAnsi="Times New Roman" w:cs="Times New Roman"/>
          <w:sz w:val="22"/>
          <w:szCs w:val="22"/>
        </w:rPr>
        <w:t xml:space="preserve">O sistema de </w:t>
      </w:r>
      <w:r>
        <w:rPr>
          <w:rFonts w:ascii="Times New Roman" w:hAnsi="Times New Roman" w:cs="Times New Roman"/>
          <w:b/>
          <w:bCs/>
          <w:sz w:val="22"/>
          <w:szCs w:val="22"/>
        </w:rPr>
        <w:t>CFTV</w:t>
      </w:r>
      <w:r>
        <w:rPr>
          <w:rFonts w:ascii="Times New Roman" w:hAnsi="Times New Roman" w:cs="Times New Roman"/>
          <w:sz w:val="22"/>
          <w:szCs w:val="22"/>
        </w:rPr>
        <w:t xml:space="preserve"> para o monitoramento da imagem com a gravação e transmissão de imagens de câmeras, através de meio de transporte de dados on-line adequados. Os registros deverão ser digitalizados, capturados com data e hora, comprimidos e guardados para posterior observação, com período expiração de imagem de 30 (trinta) dias corridos ou mais.</w:t>
      </w:r>
    </w:p>
    <w:p>
      <w:pPr>
        <w:pStyle w:val="60"/>
        <w:widowControl w:val="0"/>
        <w:spacing w:before="0" w:after="120"/>
        <w:contextualSpacing/>
        <w:jc w:val="both"/>
        <w:rPr>
          <w:rFonts w:ascii="Times New Roman" w:hAnsi="Times New Roman" w:cs="Times New Roman"/>
          <w:sz w:val="22"/>
          <w:szCs w:val="22"/>
        </w:rPr>
      </w:pPr>
    </w:p>
    <w:p>
      <w:pPr>
        <w:pStyle w:val="60"/>
        <w:widowControl w:val="0"/>
        <w:numPr>
          <w:ilvl w:val="0"/>
          <w:numId w:val="11"/>
        </w:numPr>
        <w:spacing w:before="0" w:after="120"/>
        <w:contextualSpacing/>
        <w:jc w:val="both"/>
        <w:rPr>
          <w:rFonts w:ascii="Times New Roman" w:hAnsi="Times New Roman"/>
        </w:rPr>
      </w:pPr>
      <w:r>
        <w:rPr>
          <w:rFonts w:ascii="Times New Roman" w:hAnsi="Times New Roman" w:cs="Times New Roman"/>
          <w:b/>
          <w:bCs/>
          <w:sz w:val="22"/>
          <w:szCs w:val="22"/>
        </w:rPr>
        <w:t>OBRIGAÇÕES DA CONTRATADA</w:t>
      </w:r>
    </w:p>
    <w:p>
      <w:pPr>
        <w:pStyle w:val="60"/>
        <w:widowControl w:val="0"/>
        <w:numPr>
          <w:ilvl w:val="1"/>
          <w:numId w:val="11"/>
        </w:numPr>
        <w:spacing w:before="0" w:after="120"/>
        <w:contextualSpacing/>
        <w:jc w:val="both"/>
        <w:rPr>
          <w:rFonts w:ascii="Times New Roman" w:hAnsi="Times New Roman"/>
        </w:rPr>
      </w:pPr>
      <w:r>
        <w:rPr>
          <w:rFonts w:ascii="Times New Roman" w:hAnsi="Times New Roman" w:cs="Times New Roman"/>
          <w:sz w:val="22"/>
          <w:szCs w:val="22"/>
        </w:rPr>
        <w:t>Efetuar a entrega dos materiais/serviços, de acordo com as especificações do Termo de Referência, edital e demais anexos.</w:t>
      </w:r>
    </w:p>
    <w:p>
      <w:pPr>
        <w:pStyle w:val="60"/>
        <w:widowControl w:val="0"/>
        <w:numPr>
          <w:ilvl w:val="1"/>
          <w:numId w:val="11"/>
        </w:numPr>
        <w:spacing w:before="0" w:after="120"/>
        <w:contextualSpacing/>
        <w:jc w:val="both"/>
        <w:rPr>
          <w:rFonts w:ascii="Times New Roman" w:hAnsi="Times New Roman"/>
        </w:rPr>
      </w:pPr>
      <w:r>
        <w:rPr>
          <w:rFonts w:ascii="Times New Roman" w:hAnsi="Times New Roman" w:cs="Times New Roman"/>
          <w:sz w:val="22"/>
          <w:szCs w:val="22"/>
        </w:rPr>
        <w:t xml:space="preserve"> Responsabilizar-se por quaisquer danos, pessoais ou materiais, que forem causados por seus empregados ou prepostos, tanto por ação quanto por omissão a Administração ou a terceiros.</w:t>
      </w:r>
    </w:p>
    <w:p>
      <w:pPr>
        <w:pStyle w:val="60"/>
        <w:widowControl w:val="0"/>
        <w:numPr>
          <w:ilvl w:val="1"/>
          <w:numId w:val="11"/>
        </w:numPr>
        <w:spacing w:before="0" w:after="120"/>
        <w:contextualSpacing/>
        <w:jc w:val="both"/>
        <w:rPr>
          <w:rFonts w:ascii="Times New Roman" w:hAnsi="Times New Roman"/>
        </w:rPr>
      </w:pPr>
      <w:r>
        <w:rPr>
          <w:rFonts w:ascii="Times New Roman" w:hAnsi="Times New Roman" w:cs="Times New Roman"/>
          <w:sz w:val="22"/>
          <w:szCs w:val="22"/>
        </w:rPr>
        <w:t>Sujeitar-se às disposições do Código de Proteção do Consumidor, instituído pela lei n. 8078, de 11 de setembro de 1990.</w:t>
      </w:r>
    </w:p>
    <w:p>
      <w:pPr>
        <w:pStyle w:val="60"/>
        <w:widowControl w:val="0"/>
        <w:numPr>
          <w:ilvl w:val="1"/>
          <w:numId w:val="11"/>
        </w:numPr>
        <w:spacing w:before="0" w:after="120"/>
        <w:contextualSpacing/>
        <w:jc w:val="both"/>
        <w:rPr>
          <w:rFonts w:ascii="Times New Roman" w:hAnsi="Times New Roman"/>
        </w:rPr>
      </w:pPr>
      <w:r>
        <w:rPr>
          <w:rFonts w:ascii="Times New Roman" w:hAnsi="Times New Roman" w:cs="Times New Roman"/>
          <w:sz w:val="22"/>
          <w:szCs w:val="22"/>
        </w:rPr>
        <w:t>Arcar com todas as despesas, diretas ou indiretas necessárias ao fornecimento de equipamentos e da prestação de serviço.</w:t>
      </w:r>
    </w:p>
    <w:p>
      <w:pPr>
        <w:pStyle w:val="60"/>
        <w:widowControl w:val="0"/>
        <w:numPr>
          <w:ilvl w:val="1"/>
          <w:numId w:val="11"/>
        </w:numPr>
        <w:spacing w:before="0" w:after="120"/>
        <w:contextualSpacing/>
        <w:jc w:val="both"/>
        <w:rPr>
          <w:rFonts w:ascii="Times New Roman" w:hAnsi="Times New Roman"/>
        </w:rPr>
      </w:pPr>
      <w:r>
        <w:rPr>
          <w:rFonts w:ascii="Times New Roman" w:hAnsi="Times New Roman" w:cs="Times New Roman"/>
          <w:sz w:val="22"/>
          <w:szCs w:val="22"/>
        </w:rPr>
        <w:t xml:space="preserve"> Não subcontratar ou transferi a terceiros, nem mesmo parcialmente, a entrega dos bens, objeto deste termo, sem prévio consentimento por escrito da </w:t>
      </w:r>
      <w:r>
        <w:rPr>
          <w:rFonts w:ascii="Times New Roman" w:hAnsi="Times New Roman" w:cs="Times New Roman"/>
          <w:b/>
          <w:bCs/>
          <w:sz w:val="22"/>
          <w:szCs w:val="22"/>
        </w:rPr>
        <w:t>CONTRATANTE</w:t>
      </w:r>
      <w:r>
        <w:rPr>
          <w:rFonts w:ascii="Times New Roman" w:hAnsi="Times New Roman" w:cs="Times New Roman"/>
          <w:sz w:val="22"/>
          <w:szCs w:val="22"/>
        </w:rPr>
        <w:t>, sob pena de incorrer nas penalidades nele previstas.</w:t>
      </w:r>
    </w:p>
    <w:p>
      <w:pPr>
        <w:pStyle w:val="60"/>
        <w:widowControl w:val="0"/>
        <w:numPr>
          <w:ilvl w:val="1"/>
          <w:numId w:val="11"/>
        </w:numPr>
        <w:spacing w:before="0" w:after="120"/>
        <w:contextualSpacing/>
        <w:jc w:val="both"/>
        <w:rPr>
          <w:rFonts w:ascii="Times New Roman" w:hAnsi="Times New Roman"/>
        </w:rPr>
      </w:pPr>
      <w:r>
        <w:rPr>
          <w:rFonts w:ascii="Times New Roman" w:hAnsi="Times New Roman" w:cs="Times New Roman"/>
          <w:sz w:val="22"/>
          <w:szCs w:val="22"/>
        </w:rPr>
        <w:t>Fornecer pessoal para a implantação dos sistemas devendo arcar com a remuneração e os demais encargos trabalhistas, fiscais, previdenciários, comerciais e outros, decorrentes da contração, inclusive seguro cobrindo “riscos diverso” além de taxas e impostos, sem nenhum ônus para contratante;</w:t>
      </w:r>
    </w:p>
    <w:p>
      <w:pPr>
        <w:pStyle w:val="60"/>
        <w:widowControl w:val="0"/>
        <w:numPr>
          <w:ilvl w:val="1"/>
          <w:numId w:val="11"/>
        </w:numPr>
        <w:spacing w:before="0" w:after="120"/>
        <w:contextualSpacing/>
        <w:jc w:val="both"/>
        <w:rPr>
          <w:rFonts w:ascii="Times New Roman" w:hAnsi="Times New Roman"/>
        </w:rPr>
      </w:pPr>
      <w:r>
        <w:rPr>
          <w:rFonts w:ascii="Times New Roman" w:hAnsi="Times New Roman" w:cs="Times New Roman"/>
          <w:sz w:val="22"/>
          <w:szCs w:val="22"/>
        </w:rPr>
        <w:t>Proceder, às suas expensas, a substituição dos equipamentos que não atenderem as exigências do edital;</w:t>
      </w:r>
    </w:p>
    <w:p>
      <w:pPr>
        <w:pStyle w:val="60"/>
        <w:widowControl w:val="0"/>
        <w:numPr>
          <w:ilvl w:val="1"/>
          <w:numId w:val="11"/>
        </w:numPr>
        <w:spacing w:before="0" w:after="120"/>
        <w:contextualSpacing/>
        <w:jc w:val="both"/>
        <w:rPr>
          <w:rFonts w:ascii="Times New Roman" w:hAnsi="Times New Roman"/>
        </w:rPr>
      </w:pPr>
      <w:r>
        <w:rPr>
          <w:rFonts w:ascii="Times New Roman" w:hAnsi="Times New Roman" w:cs="Times New Roman"/>
          <w:sz w:val="22"/>
          <w:szCs w:val="22"/>
        </w:rPr>
        <w:t>A empresa deverá disponibilizar um funcionário e dispor de número telefônico e e-mail, para contato imediato da Contratante;</w:t>
      </w:r>
    </w:p>
    <w:p>
      <w:pPr>
        <w:pStyle w:val="60"/>
        <w:widowControl w:val="0"/>
        <w:numPr>
          <w:ilvl w:val="1"/>
          <w:numId w:val="11"/>
        </w:numPr>
        <w:spacing w:before="0" w:after="120"/>
        <w:contextualSpacing/>
        <w:jc w:val="both"/>
        <w:rPr>
          <w:rFonts w:ascii="Times New Roman" w:hAnsi="Times New Roman"/>
        </w:rPr>
      </w:pPr>
      <w:r>
        <w:rPr>
          <w:rFonts w:ascii="Times New Roman" w:hAnsi="Times New Roman" w:cs="Times New Roman"/>
          <w:sz w:val="22"/>
          <w:szCs w:val="22"/>
        </w:rPr>
        <w:t>Informar a Contratante sobre qualquer dificuldade imprevista ou alteração no objeto da licitação ou data e forma de entrega, não deixando – a imune a advertências.</w:t>
      </w:r>
    </w:p>
    <w:p>
      <w:pPr>
        <w:pStyle w:val="60"/>
        <w:widowControl w:val="0"/>
        <w:numPr>
          <w:ilvl w:val="1"/>
          <w:numId w:val="11"/>
        </w:numPr>
        <w:spacing w:before="0" w:after="120"/>
        <w:contextualSpacing/>
        <w:jc w:val="both"/>
        <w:rPr>
          <w:rFonts w:ascii="Times New Roman" w:hAnsi="Times New Roman"/>
        </w:rPr>
      </w:pPr>
      <w:r>
        <w:rPr>
          <w:rFonts w:ascii="Times New Roman" w:hAnsi="Times New Roman" w:cs="Times New Roman"/>
          <w:sz w:val="22"/>
          <w:szCs w:val="22"/>
        </w:rPr>
        <w:t>Fornecer os equipamentos conforme especificações técnicas constantes da sua proposta comercial, que não poderão ser inferiores as especificações contidas neste TR, e nos prazos constantes na Orcem de Fornecimento.</w:t>
      </w:r>
    </w:p>
    <w:p>
      <w:pPr>
        <w:pStyle w:val="60"/>
        <w:widowControl w:val="0"/>
        <w:numPr>
          <w:ilvl w:val="1"/>
          <w:numId w:val="11"/>
        </w:numPr>
        <w:spacing w:before="0" w:after="120"/>
        <w:contextualSpacing/>
        <w:jc w:val="both"/>
        <w:rPr>
          <w:rFonts w:ascii="Times New Roman" w:hAnsi="Times New Roman"/>
        </w:rPr>
      </w:pPr>
      <w:r>
        <w:rPr>
          <w:rFonts w:ascii="Times New Roman" w:hAnsi="Times New Roman" w:cs="Times New Roman"/>
          <w:sz w:val="22"/>
          <w:szCs w:val="22"/>
        </w:rPr>
        <w:t xml:space="preserve">A </w:t>
      </w:r>
      <w:r>
        <w:rPr>
          <w:rFonts w:ascii="Times New Roman" w:hAnsi="Times New Roman" w:cs="Times New Roman"/>
          <w:b/>
          <w:bCs/>
          <w:sz w:val="22"/>
          <w:szCs w:val="22"/>
        </w:rPr>
        <w:t>CONTRATADA</w:t>
      </w:r>
      <w:r>
        <w:rPr>
          <w:rFonts w:ascii="Times New Roman" w:hAnsi="Times New Roman" w:cs="Times New Roman"/>
          <w:sz w:val="22"/>
          <w:szCs w:val="22"/>
        </w:rPr>
        <w:t xml:space="preserve"> deverá entregar todos os produtos, bem como catálogos, manuais, página impressa do sítio do fabricante na internet ou quaisquer outros documentos que comprovem o atendimento das especificações técnicas deste TR.</w:t>
      </w:r>
    </w:p>
    <w:p>
      <w:pPr>
        <w:pStyle w:val="60"/>
        <w:widowControl w:val="0"/>
        <w:numPr>
          <w:ilvl w:val="1"/>
          <w:numId w:val="11"/>
        </w:numPr>
        <w:spacing w:before="0" w:after="120"/>
        <w:contextualSpacing/>
        <w:jc w:val="both"/>
        <w:rPr>
          <w:rFonts w:ascii="Times New Roman" w:hAnsi="Times New Roman"/>
        </w:rPr>
      </w:pPr>
      <w:r>
        <w:rPr>
          <w:rFonts w:ascii="Times New Roman" w:hAnsi="Times New Roman" w:cs="Times New Roman"/>
          <w:sz w:val="22"/>
          <w:szCs w:val="22"/>
        </w:rPr>
        <w:t>fornecer materiais novos (sem uso, reforma ou recondicionamento) e que não estarão fora de linha de fabricação, pelo menos, nos próximos 90(noventa) dias, de maneira a não prejudicar a execução dos objetos ora contratados;</w:t>
      </w:r>
    </w:p>
    <w:p>
      <w:pPr>
        <w:pStyle w:val="60"/>
        <w:widowControl w:val="0"/>
        <w:numPr>
          <w:ilvl w:val="1"/>
          <w:numId w:val="11"/>
        </w:numPr>
        <w:spacing w:before="0" w:after="120"/>
        <w:contextualSpacing/>
        <w:jc w:val="both"/>
        <w:rPr>
          <w:rFonts w:ascii="Times New Roman" w:hAnsi="Times New Roman"/>
        </w:rPr>
      </w:pPr>
      <w:r>
        <w:rPr>
          <w:rFonts w:ascii="Times New Roman" w:hAnsi="Times New Roman" w:cs="Times New Roman"/>
          <w:sz w:val="22"/>
          <w:szCs w:val="22"/>
        </w:rPr>
        <w:t>Prestar todos os esclarecimentos técnicos que lhe forem solicitados, relacionados com as características e funcionamento do sistema cotado;</w:t>
      </w:r>
    </w:p>
    <w:p>
      <w:pPr>
        <w:pStyle w:val="60"/>
        <w:widowControl w:val="0"/>
        <w:numPr>
          <w:ilvl w:val="1"/>
          <w:numId w:val="11"/>
        </w:numPr>
        <w:spacing w:before="0" w:after="120"/>
        <w:contextualSpacing/>
        <w:jc w:val="both"/>
        <w:rPr>
          <w:rFonts w:ascii="Times New Roman" w:hAnsi="Times New Roman"/>
        </w:rPr>
      </w:pPr>
      <w:r>
        <w:rPr>
          <w:rFonts w:ascii="Times New Roman" w:hAnsi="Times New Roman" w:cs="Times New Roman"/>
          <w:sz w:val="22"/>
          <w:szCs w:val="22"/>
        </w:rPr>
        <w:t xml:space="preserve">Prestar todos os esclarecimentos técnicos que lhe forem solicitados pela </w:t>
      </w:r>
      <w:r>
        <w:rPr>
          <w:rFonts w:ascii="Times New Roman" w:hAnsi="Times New Roman" w:cs="Times New Roman"/>
          <w:b/>
          <w:bCs/>
          <w:sz w:val="22"/>
          <w:szCs w:val="22"/>
        </w:rPr>
        <w:t>CONTRATANTE</w:t>
      </w:r>
      <w:r>
        <w:rPr>
          <w:rFonts w:ascii="Times New Roman" w:hAnsi="Times New Roman" w:cs="Times New Roman"/>
          <w:sz w:val="22"/>
          <w:szCs w:val="22"/>
        </w:rPr>
        <w:t>, relacionados com as características e funcionamento dos equipamentos e também na compatibilidade com software de terceiros;</w:t>
      </w:r>
    </w:p>
    <w:p>
      <w:pPr>
        <w:pStyle w:val="60"/>
        <w:widowControl w:val="0"/>
        <w:numPr>
          <w:ilvl w:val="1"/>
          <w:numId w:val="11"/>
        </w:numPr>
        <w:spacing w:before="0" w:after="120"/>
        <w:contextualSpacing/>
        <w:jc w:val="both"/>
        <w:rPr>
          <w:rFonts w:ascii="Times New Roman" w:hAnsi="Times New Roman"/>
        </w:rPr>
      </w:pPr>
      <w:r>
        <w:rPr>
          <w:rFonts w:ascii="Times New Roman" w:hAnsi="Times New Roman" w:cs="Times New Roman"/>
          <w:sz w:val="22"/>
          <w:szCs w:val="22"/>
        </w:rPr>
        <w:t>Entregar, no local determinado pelo CONTRATANTE na Ordem de Fornecimento, os equipamentos objeto da presente contratação, às suas expensas, dentro do prazo de entrega estabelecido;</w:t>
      </w:r>
    </w:p>
    <w:p>
      <w:pPr>
        <w:pStyle w:val="60"/>
        <w:widowControl w:val="0"/>
        <w:spacing w:before="0" w:after="120"/>
        <w:contextualSpacing/>
        <w:jc w:val="both"/>
        <w:rPr>
          <w:rFonts w:ascii="Times New Roman" w:hAnsi="Times New Roman" w:cs="Times New Roman"/>
          <w:sz w:val="22"/>
          <w:szCs w:val="22"/>
        </w:rPr>
      </w:pPr>
    </w:p>
    <w:p>
      <w:pPr>
        <w:pStyle w:val="60"/>
        <w:widowControl w:val="0"/>
        <w:numPr>
          <w:ilvl w:val="0"/>
          <w:numId w:val="11"/>
        </w:numPr>
        <w:spacing w:before="0" w:after="120"/>
        <w:contextualSpacing/>
        <w:jc w:val="both"/>
        <w:rPr>
          <w:rFonts w:ascii="Times New Roman" w:hAnsi="Times New Roman"/>
        </w:rPr>
      </w:pPr>
      <w:r>
        <w:rPr>
          <w:rFonts w:ascii="Times New Roman" w:hAnsi="Times New Roman" w:cs="Times New Roman"/>
          <w:b/>
          <w:bCs/>
          <w:sz w:val="22"/>
          <w:szCs w:val="22"/>
        </w:rPr>
        <w:t>DAS OBRIGAÇÕES DA CONTRATANTE</w:t>
      </w:r>
    </w:p>
    <w:p>
      <w:pPr>
        <w:pStyle w:val="60"/>
        <w:widowControl w:val="0"/>
        <w:numPr>
          <w:ilvl w:val="1"/>
          <w:numId w:val="11"/>
        </w:numPr>
        <w:spacing w:before="0" w:after="120"/>
        <w:ind w:left="709" w:hanging="360"/>
        <w:contextualSpacing/>
        <w:jc w:val="both"/>
        <w:rPr>
          <w:rFonts w:ascii="Times New Roman" w:hAnsi="Times New Roman"/>
        </w:rPr>
      </w:pPr>
      <w:r>
        <w:rPr>
          <w:rFonts w:ascii="Times New Roman" w:hAnsi="Times New Roman" w:cs="Times New Roman"/>
          <w:sz w:val="22"/>
          <w:szCs w:val="22"/>
        </w:rPr>
        <w:t>A contratante obriga-se a:</w:t>
      </w:r>
    </w:p>
    <w:p>
      <w:pPr>
        <w:pStyle w:val="60"/>
        <w:widowControl w:val="0"/>
        <w:numPr>
          <w:ilvl w:val="2"/>
          <w:numId w:val="11"/>
        </w:numPr>
        <w:spacing w:before="0" w:after="120"/>
        <w:contextualSpacing/>
        <w:jc w:val="both"/>
        <w:rPr>
          <w:rFonts w:ascii="Times New Roman" w:hAnsi="Times New Roman"/>
        </w:rPr>
      </w:pPr>
      <w:r>
        <w:rPr>
          <w:rFonts w:ascii="Times New Roman" w:hAnsi="Times New Roman" w:cs="Times New Roman"/>
          <w:sz w:val="22"/>
          <w:szCs w:val="22"/>
        </w:rPr>
        <w:t>Receber provisoriamente material, disponibilizando local, data e horário;</w:t>
      </w:r>
    </w:p>
    <w:p>
      <w:pPr>
        <w:pStyle w:val="60"/>
        <w:widowControl w:val="0"/>
        <w:numPr>
          <w:ilvl w:val="2"/>
          <w:numId w:val="11"/>
        </w:numPr>
        <w:spacing w:before="0" w:after="120"/>
        <w:contextualSpacing/>
        <w:jc w:val="both"/>
        <w:rPr>
          <w:rFonts w:ascii="Times New Roman" w:hAnsi="Times New Roman"/>
        </w:rPr>
      </w:pPr>
      <w:r>
        <w:rPr>
          <w:rFonts w:ascii="Times New Roman" w:hAnsi="Times New Roman" w:cs="Times New Roman"/>
          <w:sz w:val="22"/>
          <w:szCs w:val="22"/>
        </w:rPr>
        <w:t>Verificar minuciosamente, no prazo fixado, a conformidade dos bens recebidos provisoriamente com as especificações constantes do Edital e seus anexos, pra fins de aceitação e recebimentos definitivos;</w:t>
      </w:r>
    </w:p>
    <w:p>
      <w:pPr>
        <w:pStyle w:val="60"/>
        <w:widowControl w:val="0"/>
        <w:numPr>
          <w:ilvl w:val="2"/>
          <w:numId w:val="11"/>
        </w:numPr>
        <w:spacing w:before="0" w:after="120"/>
        <w:contextualSpacing/>
        <w:jc w:val="both"/>
        <w:rPr>
          <w:rFonts w:ascii="Times New Roman" w:hAnsi="Times New Roman"/>
        </w:rPr>
      </w:pPr>
      <w:r>
        <w:rPr>
          <w:rFonts w:ascii="Times New Roman" w:hAnsi="Times New Roman" w:cs="Times New Roman"/>
          <w:sz w:val="22"/>
          <w:szCs w:val="22"/>
        </w:rPr>
        <w:t>Acompanhar e fiscalizar o cumprimento das obrigações da Contratada, através de servidor especialmente designado;</w:t>
      </w:r>
    </w:p>
    <w:p>
      <w:pPr>
        <w:pStyle w:val="60"/>
        <w:widowControl w:val="0"/>
        <w:numPr>
          <w:ilvl w:val="2"/>
          <w:numId w:val="11"/>
        </w:numPr>
        <w:spacing w:before="0" w:after="120"/>
        <w:contextualSpacing/>
        <w:jc w:val="both"/>
        <w:rPr>
          <w:rFonts w:ascii="Times New Roman" w:hAnsi="Times New Roman"/>
        </w:rPr>
      </w:pPr>
      <w:r>
        <w:rPr>
          <w:rFonts w:ascii="Times New Roman" w:hAnsi="Times New Roman" w:cs="Times New Roman"/>
          <w:sz w:val="22"/>
          <w:szCs w:val="22"/>
        </w:rPr>
        <w:t>Efetuar o pagamento no prazo previsto</w:t>
      </w:r>
    </w:p>
    <w:p>
      <w:pPr>
        <w:pStyle w:val="60"/>
        <w:widowControl w:val="0"/>
        <w:spacing w:before="0" w:after="120"/>
        <w:contextualSpacing/>
        <w:jc w:val="both"/>
        <w:rPr>
          <w:rFonts w:ascii="Times New Roman" w:hAnsi="Times New Roman" w:cs="Times New Roman"/>
          <w:sz w:val="22"/>
          <w:szCs w:val="22"/>
        </w:rPr>
      </w:pPr>
    </w:p>
    <w:p>
      <w:pPr>
        <w:pStyle w:val="60"/>
        <w:widowControl w:val="0"/>
        <w:numPr>
          <w:ilvl w:val="0"/>
          <w:numId w:val="11"/>
        </w:numPr>
        <w:spacing w:before="0" w:after="120"/>
        <w:contextualSpacing/>
        <w:jc w:val="both"/>
        <w:rPr>
          <w:rFonts w:ascii="Times New Roman" w:hAnsi="Times New Roman"/>
        </w:rPr>
      </w:pPr>
      <w:r>
        <w:rPr>
          <w:rFonts w:ascii="Times New Roman" w:hAnsi="Times New Roman" w:cs="Times New Roman"/>
          <w:b/>
          <w:bCs/>
          <w:sz w:val="22"/>
          <w:szCs w:val="22"/>
        </w:rPr>
        <w:t>DO VALOR APROXIMADO</w:t>
      </w:r>
    </w:p>
    <w:p>
      <w:pPr>
        <w:pStyle w:val="60"/>
        <w:widowControl w:val="0"/>
        <w:numPr>
          <w:ilvl w:val="1"/>
          <w:numId w:val="11"/>
        </w:numPr>
        <w:spacing w:before="0" w:after="120"/>
        <w:ind w:left="993" w:hanging="567"/>
        <w:contextualSpacing/>
        <w:jc w:val="both"/>
        <w:rPr>
          <w:rFonts w:ascii="Times New Roman" w:hAnsi="Times New Roman"/>
        </w:rPr>
      </w:pPr>
      <w:r>
        <w:rPr>
          <w:rFonts w:ascii="Times New Roman" w:hAnsi="Times New Roman" w:cs="Times New Roman"/>
          <w:sz w:val="22"/>
          <w:szCs w:val="22"/>
        </w:rPr>
        <w:t>A estimativa de preços foi feita com base em pesquisa realizada junto a empresas do ramo compatível ao objeto licitado, conforme orçamento anexo</w:t>
      </w:r>
      <w:r>
        <w:rPr>
          <w:rFonts w:hint="default" w:ascii="Times New Roman" w:hAnsi="Times New Roman" w:cs="Times New Roman"/>
          <w:sz w:val="22"/>
          <w:szCs w:val="22"/>
          <w:lang w:val="pt-BR"/>
        </w:rPr>
        <w:t xml:space="preserve">: </w:t>
      </w:r>
      <w:r>
        <w:rPr>
          <w:rStyle w:val="45"/>
          <w:rFonts w:hint="default" w:ascii="Times New Roman" w:hAnsi="Times New Roman"/>
          <w:b/>
          <w:bCs/>
          <w:color w:val="000000" w:themeColor="text1"/>
          <w:kern w:val="0"/>
          <w:sz w:val="22"/>
          <w:szCs w:val="22"/>
          <w:shd w:val="clear" w:fill="auto"/>
          <w:lang w:val="pt-BR" w:eastAsia="en-US"/>
        </w:rPr>
        <w:t>R$ 101.149,29 (Cento e um mil, cento e quarenta e nove reais e vinte e nove centavos)</w:t>
      </w:r>
      <w:r>
        <w:rPr>
          <w:rStyle w:val="45"/>
          <w:rFonts w:ascii="Times New Roman" w:hAnsi="Times New Roman" w:cs="Times New Roman"/>
          <w:b/>
          <w:bCs/>
          <w:color w:val="000000" w:themeColor="text1"/>
          <w:kern w:val="0"/>
          <w:sz w:val="22"/>
          <w:szCs w:val="22"/>
          <w:shd w:val="clear" w:fill="auto"/>
          <w:lang w:val="pt-BR" w:eastAsia="en-US" w:bidi="ar-SA"/>
        </w:rPr>
        <w:t>.</w:t>
      </w:r>
    </w:p>
    <w:p>
      <w:pPr>
        <w:pStyle w:val="60"/>
        <w:widowControl w:val="0"/>
        <w:spacing w:before="0" w:after="120"/>
        <w:ind w:left="993"/>
        <w:contextualSpacing/>
        <w:jc w:val="both"/>
        <w:rPr>
          <w:rFonts w:ascii="Times New Roman" w:hAnsi="Times New Roman" w:cs="Times New Roman"/>
          <w:b/>
          <w:bCs/>
          <w:sz w:val="22"/>
          <w:szCs w:val="22"/>
        </w:rPr>
      </w:pPr>
    </w:p>
    <w:p>
      <w:pPr>
        <w:pStyle w:val="60"/>
        <w:widowControl w:val="0"/>
        <w:numPr>
          <w:ilvl w:val="0"/>
          <w:numId w:val="11"/>
        </w:numPr>
        <w:spacing w:before="0" w:after="120"/>
        <w:contextualSpacing/>
        <w:jc w:val="both"/>
        <w:rPr>
          <w:rFonts w:ascii="Times New Roman" w:hAnsi="Times New Roman"/>
        </w:rPr>
      </w:pPr>
      <w:r>
        <w:rPr>
          <w:rFonts w:ascii="Times New Roman" w:hAnsi="Times New Roman" w:cs="Times New Roman"/>
          <w:b/>
          <w:bCs/>
          <w:sz w:val="22"/>
          <w:szCs w:val="22"/>
        </w:rPr>
        <w:t>DOTAÇÃO ORÇAMENTARIA</w:t>
      </w:r>
    </w:p>
    <w:p>
      <w:pPr>
        <w:pStyle w:val="60"/>
        <w:widowControl w:val="0"/>
        <w:numPr>
          <w:ilvl w:val="1"/>
          <w:numId w:val="11"/>
        </w:numPr>
        <w:spacing w:before="0" w:after="120"/>
        <w:ind w:left="993" w:hanging="567"/>
        <w:contextualSpacing/>
        <w:jc w:val="both"/>
        <w:rPr>
          <w:rFonts w:ascii="Times New Roman" w:hAnsi="Times New Roman"/>
        </w:rPr>
      </w:pPr>
      <w:r>
        <w:rPr>
          <w:rFonts w:ascii="Times New Roman" w:hAnsi="Times New Roman" w:cs="Times New Roman"/>
          <w:sz w:val="22"/>
          <w:szCs w:val="22"/>
        </w:rPr>
        <w:t>As despesas oriundas da presente aquisição correrão por conta de recursos próprios específicos consignados no orçamento desta Câmara Municipal de Primavera do Leste-MT:</w:t>
      </w:r>
    </w:p>
    <w:tbl>
      <w:tblPr>
        <w:tblStyle w:val="9"/>
        <w:tblW w:w="9073" w:type="dxa"/>
        <w:tblInd w:w="42" w:type="dxa"/>
        <w:tblLayout w:type="fixed"/>
        <w:tblCellMar>
          <w:top w:w="55" w:type="dxa"/>
          <w:left w:w="55" w:type="dxa"/>
          <w:bottom w:w="55" w:type="dxa"/>
          <w:right w:w="55" w:type="dxa"/>
        </w:tblCellMar>
      </w:tblPr>
      <w:tblGrid>
        <w:gridCol w:w="2160"/>
        <w:gridCol w:w="2655"/>
        <w:gridCol w:w="4258"/>
      </w:tblGrid>
      <w:tr>
        <w:tblPrEx>
          <w:tblCellMar>
            <w:top w:w="55" w:type="dxa"/>
            <w:left w:w="55" w:type="dxa"/>
            <w:bottom w:w="55" w:type="dxa"/>
            <w:right w:w="55" w:type="dxa"/>
          </w:tblCellMar>
        </w:tblPrEx>
        <w:tc>
          <w:tcPr>
            <w:tcW w:w="2160" w:type="dxa"/>
            <w:tcBorders>
              <w:top w:val="single" w:color="000000" w:sz="2" w:space="0"/>
              <w:left w:val="single" w:color="000000" w:sz="2" w:space="0"/>
              <w:bottom w:val="single" w:color="000000" w:sz="2" w:space="0"/>
            </w:tcBorders>
          </w:tcPr>
          <w:p>
            <w:pPr>
              <w:pStyle w:val="171"/>
              <w:spacing w:before="0" w:after="160" w:line="240" w:lineRule="auto"/>
              <w:rPr>
                <w:rFonts w:ascii="Times New Roman" w:hAnsi="Times New Roman"/>
                <w:sz w:val="22"/>
                <w:szCs w:val="22"/>
              </w:rPr>
            </w:pPr>
            <w:r>
              <w:rPr>
                <w:rFonts w:ascii="Times New Roman" w:hAnsi="Times New Roman"/>
                <w:sz w:val="22"/>
                <w:szCs w:val="22"/>
                <w:shd w:val="clear" w:fill="auto"/>
              </w:rPr>
              <w:t>Órgão</w:t>
            </w:r>
          </w:p>
        </w:tc>
        <w:tc>
          <w:tcPr>
            <w:tcW w:w="2655" w:type="dxa"/>
            <w:tcBorders>
              <w:top w:val="single" w:color="000000" w:sz="2" w:space="0"/>
              <w:left w:val="single" w:color="000000" w:sz="2" w:space="0"/>
              <w:bottom w:val="single" w:color="000000" w:sz="2" w:space="0"/>
            </w:tcBorders>
          </w:tcPr>
          <w:p>
            <w:pPr>
              <w:pStyle w:val="171"/>
              <w:spacing w:before="0" w:after="160" w:line="240" w:lineRule="auto"/>
              <w:rPr>
                <w:rFonts w:ascii="Times New Roman" w:hAnsi="Times New Roman"/>
                <w:sz w:val="22"/>
                <w:szCs w:val="22"/>
              </w:rPr>
            </w:pPr>
            <w:r>
              <w:rPr>
                <w:rFonts w:ascii="Times New Roman" w:hAnsi="Times New Roman"/>
                <w:sz w:val="22"/>
                <w:szCs w:val="22"/>
                <w:shd w:val="clear" w:fill="auto"/>
              </w:rPr>
              <w:t>01</w:t>
            </w:r>
          </w:p>
        </w:tc>
        <w:tc>
          <w:tcPr>
            <w:tcW w:w="4258" w:type="dxa"/>
            <w:tcBorders>
              <w:top w:val="single" w:color="000000" w:sz="2" w:space="0"/>
              <w:left w:val="single" w:color="000000" w:sz="2" w:space="0"/>
              <w:bottom w:val="single" w:color="000000" w:sz="2" w:space="0"/>
              <w:right w:val="single" w:color="000000" w:sz="2" w:space="0"/>
            </w:tcBorders>
          </w:tcPr>
          <w:p>
            <w:pPr>
              <w:pStyle w:val="171"/>
              <w:spacing w:before="0" w:after="160" w:line="240" w:lineRule="auto"/>
              <w:rPr>
                <w:rFonts w:ascii="Times New Roman" w:hAnsi="Times New Roman"/>
                <w:sz w:val="22"/>
                <w:szCs w:val="22"/>
              </w:rPr>
            </w:pPr>
            <w:r>
              <w:rPr>
                <w:rFonts w:ascii="Times New Roman" w:hAnsi="Times New Roman"/>
                <w:sz w:val="22"/>
                <w:szCs w:val="22"/>
                <w:shd w:val="clear" w:fill="auto"/>
              </w:rPr>
              <w:t>CÂMARA MUNICIPAL</w:t>
            </w:r>
          </w:p>
        </w:tc>
      </w:tr>
      <w:tr>
        <w:tblPrEx>
          <w:tblCellMar>
            <w:top w:w="55" w:type="dxa"/>
            <w:left w:w="55" w:type="dxa"/>
            <w:bottom w:w="55" w:type="dxa"/>
            <w:right w:w="55" w:type="dxa"/>
          </w:tblCellMar>
        </w:tblPrEx>
        <w:tc>
          <w:tcPr>
            <w:tcW w:w="2160" w:type="dxa"/>
            <w:tcBorders>
              <w:left w:val="single" w:color="000000" w:sz="2" w:space="0"/>
              <w:bottom w:val="single" w:color="000000" w:sz="2" w:space="0"/>
            </w:tcBorders>
          </w:tcPr>
          <w:p>
            <w:pPr>
              <w:pStyle w:val="171"/>
              <w:spacing w:before="0" w:after="160" w:line="240" w:lineRule="auto"/>
              <w:rPr>
                <w:rFonts w:ascii="Times New Roman" w:hAnsi="Times New Roman"/>
                <w:sz w:val="22"/>
                <w:szCs w:val="22"/>
              </w:rPr>
            </w:pPr>
            <w:r>
              <w:rPr>
                <w:rFonts w:ascii="Times New Roman" w:hAnsi="Times New Roman"/>
                <w:sz w:val="22"/>
                <w:szCs w:val="22"/>
                <w:shd w:val="clear" w:fill="auto"/>
              </w:rPr>
              <w:t>Unid Orçamentária</w:t>
            </w:r>
          </w:p>
        </w:tc>
        <w:tc>
          <w:tcPr>
            <w:tcW w:w="2655" w:type="dxa"/>
            <w:tcBorders>
              <w:left w:val="single" w:color="000000" w:sz="2" w:space="0"/>
              <w:bottom w:val="single" w:color="000000" w:sz="2" w:space="0"/>
            </w:tcBorders>
          </w:tcPr>
          <w:p>
            <w:pPr>
              <w:pStyle w:val="171"/>
              <w:spacing w:before="0" w:after="160" w:line="240" w:lineRule="auto"/>
              <w:rPr>
                <w:rFonts w:ascii="Times New Roman" w:hAnsi="Times New Roman"/>
                <w:sz w:val="22"/>
                <w:szCs w:val="22"/>
              </w:rPr>
            </w:pPr>
            <w:r>
              <w:rPr>
                <w:rFonts w:ascii="Times New Roman" w:hAnsi="Times New Roman"/>
                <w:sz w:val="22"/>
                <w:szCs w:val="22"/>
                <w:shd w:val="clear" w:fill="auto"/>
              </w:rPr>
              <w:t>01.00.1</w:t>
            </w:r>
          </w:p>
        </w:tc>
        <w:tc>
          <w:tcPr>
            <w:tcW w:w="4258" w:type="dxa"/>
            <w:tcBorders>
              <w:left w:val="single" w:color="000000" w:sz="2" w:space="0"/>
              <w:bottom w:val="single" w:color="000000" w:sz="2" w:space="0"/>
              <w:right w:val="single" w:color="000000" w:sz="2" w:space="0"/>
            </w:tcBorders>
          </w:tcPr>
          <w:p>
            <w:pPr>
              <w:pStyle w:val="171"/>
              <w:spacing w:before="0" w:after="160" w:line="240" w:lineRule="auto"/>
              <w:rPr>
                <w:rFonts w:ascii="Times New Roman" w:hAnsi="Times New Roman"/>
                <w:sz w:val="22"/>
                <w:szCs w:val="22"/>
              </w:rPr>
            </w:pPr>
            <w:r>
              <w:rPr>
                <w:rFonts w:ascii="Times New Roman" w:hAnsi="Times New Roman"/>
                <w:sz w:val="22"/>
                <w:szCs w:val="22"/>
                <w:shd w:val="clear" w:fill="auto"/>
              </w:rPr>
              <w:t>DEPARTAMENTO ADMINISTRATIVO</w:t>
            </w:r>
          </w:p>
        </w:tc>
      </w:tr>
      <w:tr>
        <w:tblPrEx>
          <w:tblCellMar>
            <w:top w:w="55" w:type="dxa"/>
            <w:left w:w="55" w:type="dxa"/>
            <w:bottom w:w="55" w:type="dxa"/>
            <w:right w:w="55" w:type="dxa"/>
          </w:tblCellMar>
        </w:tblPrEx>
        <w:tc>
          <w:tcPr>
            <w:tcW w:w="2160" w:type="dxa"/>
            <w:tcBorders>
              <w:left w:val="single" w:color="000000" w:sz="2" w:space="0"/>
              <w:bottom w:val="single" w:color="000000" w:sz="2" w:space="0"/>
            </w:tcBorders>
          </w:tcPr>
          <w:p>
            <w:pPr>
              <w:pStyle w:val="171"/>
              <w:spacing w:before="0" w:after="160" w:line="240" w:lineRule="auto"/>
              <w:rPr>
                <w:rFonts w:ascii="Times New Roman" w:hAnsi="Times New Roman"/>
                <w:sz w:val="22"/>
                <w:szCs w:val="22"/>
              </w:rPr>
            </w:pPr>
            <w:r>
              <w:rPr>
                <w:rFonts w:ascii="Times New Roman" w:hAnsi="Times New Roman"/>
                <w:sz w:val="22"/>
                <w:szCs w:val="22"/>
                <w:shd w:val="clear" w:fill="auto"/>
              </w:rPr>
              <w:t>Unidade Executora</w:t>
            </w:r>
          </w:p>
        </w:tc>
        <w:tc>
          <w:tcPr>
            <w:tcW w:w="2655" w:type="dxa"/>
            <w:tcBorders>
              <w:left w:val="single" w:color="000000" w:sz="2" w:space="0"/>
              <w:bottom w:val="single" w:color="000000" w:sz="2" w:space="0"/>
            </w:tcBorders>
          </w:tcPr>
          <w:p>
            <w:pPr>
              <w:pStyle w:val="171"/>
              <w:spacing w:before="0" w:after="160" w:line="240" w:lineRule="auto"/>
              <w:rPr>
                <w:rFonts w:ascii="Times New Roman" w:hAnsi="Times New Roman"/>
                <w:sz w:val="22"/>
                <w:szCs w:val="22"/>
              </w:rPr>
            </w:pPr>
            <w:r>
              <w:rPr>
                <w:rFonts w:ascii="Times New Roman" w:hAnsi="Times New Roman"/>
                <w:sz w:val="22"/>
                <w:szCs w:val="22"/>
                <w:shd w:val="clear" w:fill="auto"/>
              </w:rPr>
              <w:t>01.001</w:t>
            </w:r>
          </w:p>
        </w:tc>
        <w:tc>
          <w:tcPr>
            <w:tcW w:w="4258" w:type="dxa"/>
            <w:tcBorders>
              <w:left w:val="single" w:color="000000" w:sz="2" w:space="0"/>
              <w:bottom w:val="single" w:color="000000" w:sz="2" w:space="0"/>
              <w:right w:val="single" w:color="000000" w:sz="2" w:space="0"/>
            </w:tcBorders>
          </w:tcPr>
          <w:p>
            <w:pPr>
              <w:pStyle w:val="171"/>
              <w:spacing w:before="0" w:after="160" w:line="240" w:lineRule="auto"/>
              <w:rPr>
                <w:rFonts w:ascii="Times New Roman" w:hAnsi="Times New Roman"/>
                <w:sz w:val="22"/>
                <w:szCs w:val="22"/>
              </w:rPr>
            </w:pPr>
            <w:r>
              <w:rPr>
                <w:rFonts w:ascii="Times New Roman" w:hAnsi="Times New Roman"/>
                <w:sz w:val="22"/>
                <w:szCs w:val="22"/>
                <w:shd w:val="clear" w:fill="auto"/>
              </w:rPr>
              <w:t>DEPARTAMENTO ADMINISTRATIVO</w:t>
            </w:r>
          </w:p>
        </w:tc>
      </w:tr>
      <w:tr>
        <w:tblPrEx>
          <w:tblCellMar>
            <w:top w:w="55" w:type="dxa"/>
            <w:left w:w="55" w:type="dxa"/>
            <w:bottom w:w="55" w:type="dxa"/>
            <w:right w:w="55" w:type="dxa"/>
          </w:tblCellMar>
        </w:tblPrEx>
        <w:tc>
          <w:tcPr>
            <w:tcW w:w="2160" w:type="dxa"/>
            <w:tcBorders>
              <w:left w:val="single" w:color="000000" w:sz="2" w:space="0"/>
              <w:bottom w:val="single" w:color="000000" w:sz="2" w:space="0"/>
            </w:tcBorders>
          </w:tcPr>
          <w:p>
            <w:pPr>
              <w:pStyle w:val="171"/>
              <w:spacing w:before="0" w:after="160" w:line="240" w:lineRule="auto"/>
              <w:rPr>
                <w:rFonts w:ascii="Times New Roman" w:hAnsi="Times New Roman"/>
                <w:sz w:val="22"/>
                <w:szCs w:val="22"/>
              </w:rPr>
            </w:pPr>
            <w:r>
              <w:rPr>
                <w:rFonts w:ascii="Times New Roman" w:hAnsi="Times New Roman"/>
                <w:sz w:val="22"/>
                <w:szCs w:val="22"/>
                <w:shd w:val="clear" w:fill="auto"/>
              </w:rPr>
              <w:t>Função programática</w:t>
            </w:r>
          </w:p>
        </w:tc>
        <w:tc>
          <w:tcPr>
            <w:tcW w:w="2655" w:type="dxa"/>
            <w:tcBorders>
              <w:left w:val="single" w:color="000000" w:sz="2" w:space="0"/>
              <w:bottom w:val="single" w:color="000000" w:sz="2" w:space="0"/>
            </w:tcBorders>
          </w:tcPr>
          <w:p>
            <w:pPr>
              <w:pStyle w:val="171"/>
              <w:spacing w:before="0" w:after="160" w:line="240" w:lineRule="auto"/>
              <w:rPr>
                <w:rFonts w:ascii="Times New Roman" w:hAnsi="Times New Roman"/>
                <w:sz w:val="22"/>
                <w:szCs w:val="22"/>
              </w:rPr>
            </w:pPr>
            <w:r>
              <w:rPr>
                <w:rFonts w:ascii="Times New Roman" w:hAnsi="Times New Roman"/>
                <w:sz w:val="22"/>
                <w:szCs w:val="22"/>
                <w:shd w:val="clear" w:fill="auto"/>
              </w:rPr>
              <w:t>01.031.0001-1.002</w:t>
            </w:r>
          </w:p>
        </w:tc>
        <w:tc>
          <w:tcPr>
            <w:tcW w:w="4258" w:type="dxa"/>
            <w:tcBorders>
              <w:left w:val="single" w:color="000000" w:sz="2" w:space="0"/>
              <w:bottom w:val="single" w:color="000000" w:sz="2" w:space="0"/>
              <w:right w:val="single" w:color="000000" w:sz="2" w:space="0"/>
            </w:tcBorders>
          </w:tcPr>
          <w:p>
            <w:pPr>
              <w:pStyle w:val="171"/>
              <w:spacing w:before="0" w:after="160" w:line="240" w:lineRule="auto"/>
              <w:rPr>
                <w:rFonts w:ascii="Times New Roman" w:hAnsi="Times New Roman"/>
                <w:sz w:val="22"/>
                <w:szCs w:val="22"/>
              </w:rPr>
            </w:pPr>
            <w:r>
              <w:rPr>
                <w:rFonts w:ascii="Times New Roman" w:hAnsi="Times New Roman"/>
                <w:sz w:val="22"/>
                <w:szCs w:val="22"/>
                <w:shd w:val="clear" w:fill="auto"/>
              </w:rPr>
              <w:t>MANUTENÇÃO DEPARTAMENTO ADMINISTRATIVO DA CÂMARA MUNICIPAL</w:t>
            </w:r>
          </w:p>
        </w:tc>
      </w:tr>
      <w:tr>
        <w:tblPrEx>
          <w:tblCellMar>
            <w:top w:w="55" w:type="dxa"/>
            <w:left w:w="55" w:type="dxa"/>
            <w:bottom w:w="55" w:type="dxa"/>
            <w:right w:w="55" w:type="dxa"/>
          </w:tblCellMar>
        </w:tblPrEx>
        <w:tc>
          <w:tcPr>
            <w:tcW w:w="2160" w:type="dxa"/>
            <w:tcBorders>
              <w:left w:val="single" w:color="000000" w:sz="2" w:space="0"/>
              <w:bottom w:val="single" w:color="000000" w:sz="2" w:space="0"/>
            </w:tcBorders>
          </w:tcPr>
          <w:p>
            <w:pPr>
              <w:pStyle w:val="171"/>
              <w:spacing w:before="0" w:after="160" w:line="240" w:lineRule="auto"/>
              <w:rPr>
                <w:rFonts w:ascii="Times New Roman" w:hAnsi="Times New Roman"/>
                <w:sz w:val="22"/>
                <w:szCs w:val="22"/>
              </w:rPr>
            </w:pPr>
            <w:r>
              <w:rPr>
                <w:rFonts w:ascii="Times New Roman" w:hAnsi="Times New Roman"/>
                <w:sz w:val="22"/>
                <w:szCs w:val="22"/>
                <w:shd w:val="clear" w:fill="auto"/>
              </w:rPr>
              <w:t>Elemento</w:t>
            </w:r>
          </w:p>
        </w:tc>
        <w:tc>
          <w:tcPr>
            <w:tcW w:w="2655" w:type="dxa"/>
            <w:tcBorders>
              <w:left w:val="single" w:color="000000" w:sz="2" w:space="0"/>
              <w:bottom w:val="single" w:color="000000" w:sz="2" w:space="0"/>
            </w:tcBorders>
          </w:tcPr>
          <w:p>
            <w:pPr>
              <w:pStyle w:val="171"/>
              <w:spacing w:before="0" w:after="160" w:line="240" w:lineRule="auto"/>
              <w:rPr>
                <w:rFonts w:ascii="Times New Roman" w:hAnsi="Times New Roman"/>
                <w:sz w:val="22"/>
                <w:szCs w:val="22"/>
              </w:rPr>
            </w:pPr>
            <w:r>
              <w:rPr>
                <w:rFonts w:ascii="Times New Roman" w:hAnsi="Times New Roman"/>
                <w:sz w:val="22"/>
                <w:szCs w:val="22"/>
                <w:shd w:val="clear" w:fill="auto"/>
              </w:rPr>
              <w:t>3.3.90.39.00</w:t>
            </w:r>
          </w:p>
        </w:tc>
        <w:tc>
          <w:tcPr>
            <w:tcW w:w="4258" w:type="dxa"/>
            <w:tcBorders>
              <w:left w:val="single" w:color="000000" w:sz="2" w:space="0"/>
              <w:bottom w:val="single" w:color="000000" w:sz="2" w:space="0"/>
              <w:right w:val="single" w:color="000000" w:sz="2" w:space="0"/>
            </w:tcBorders>
          </w:tcPr>
          <w:p>
            <w:pPr>
              <w:pStyle w:val="171"/>
              <w:spacing w:before="0" w:after="160" w:line="240" w:lineRule="auto"/>
              <w:rPr>
                <w:rFonts w:ascii="Times New Roman" w:hAnsi="Times New Roman"/>
                <w:sz w:val="22"/>
                <w:szCs w:val="22"/>
              </w:rPr>
            </w:pPr>
            <w:r>
              <w:rPr>
                <w:rFonts w:ascii="Times New Roman" w:hAnsi="Times New Roman"/>
                <w:sz w:val="22"/>
                <w:szCs w:val="22"/>
                <w:shd w:val="clear" w:fill="auto"/>
              </w:rPr>
              <w:t>SERVIÇOS DE TERCEIROS – PESSOA JURÍDICA</w:t>
            </w:r>
          </w:p>
        </w:tc>
      </w:tr>
    </w:tbl>
    <w:p>
      <w:pPr>
        <w:pStyle w:val="60"/>
        <w:widowControl w:val="0"/>
        <w:spacing w:before="0" w:after="120"/>
        <w:ind w:left="993" w:hanging="567"/>
        <w:contextualSpacing/>
        <w:jc w:val="both"/>
        <w:rPr>
          <w:rFonts w:ascii="Times New Roman" w:hAnsi="Times New Roman"/>
          <w:sz w:val="22"/>
          <w:szCs w:val="22"/>
        </w:rPr>
      </w:pPr>
    </w:p>
    <w:p>
      <w:pPr>
        <w:pStyle w:val="60"/>
        <w:widowControl w:val="0"/>
        <w:spacing w:before="0" w:after="120"/>
        <w:ind w:left="993" w:hanging="567"/>
        <w:contextualSpacing/>
        <w:jc w:val="both"/>
        <w:rPr>
          <w:rFonts w:ascii="Times New Roman" w:hAnsi="Times New Roman" w:cs="Times New Roman"/>
          <w:sz w:val="22"/>
          <w:szCs w:val="22"/>
        </w:rPr>
      </w:pPr>
    </w:p>
    <w:p>
      <w:pPr>
        <w:pStyle w:val="60"/>
        <w:widowControl w:val="0"/>
        <w:numPr>
          <w:ilvl w:val="0"/>
          <w:numId w:val="11"/>
        </w:numPr>
        <w:spacing w:before="0" w:after="120"/>
        <w:contextualSpacing/>
        <w:jc w:val="both"/>
        <w:rPr>
          <w:rFonts w:ascii="Times New Roman" w:hAnsi="Times New Roman"/>
        </w:rPr>
      </w:pPr>
      <w:r>
        <w:rPr>
          <w:rFonts w:ascii="Times New Roman" w:hAnsi="Times New Roman" w:cs="Times New Roman"/>
          <w:b/>
          <w:bCs/>
          <w:sz w:val="22"/>
          <w:szCs w:val="22"/>
        </w:rPr>
        <w:t>DO PAGAMENTO</w:t>
      </w:r>
    </w:p>
    <w:p>
      <w:pPr>
        <w:pStyle w:val="60"/>
        <w:widowControl w:val="0"/>
        <w:numPr>
          <w:ilvl w:val="1"/>
          <w:numId w:val="11"/>
        </w:numPr>
        <w:spacing w:before="0" w:after="120"/>
        <w:ind w:left="993" w:hanging="578"/>
        <w:contextualSpacing/>
        <w:jc w:val="both"/>
        <w:rPr>
          <w:rFonts w:ascii="Times New Roman" w:hAnsi="Times New Roman"/>
        </w:rPr>
      </w:pPr>
      <w:r>
        <w:rPr>
          <w:rFonts w:ascii="Times New Roman" w:hAnsi="Times New Roman" w:cs="Times New Roman"/>
          <w:sz w:val="22"/>
          <w:szCs w:val="22"/>
        </w:rPr>
        <w:t>Pagamento será efetuado até 30 trinta dias após a entrega da Nota Fiscal devidamente atestada pelo setor competente, mediante controle emitido pelo fornecedor.</w:t>
      </w:r>
    </w:p>
    <w:p>
      <w:pPr>
        <w:widowControl w:val="0"/>
        <w:spacing w:before="0" w:after="120"/>
        <w:jc w:val="right"/>
        <w:rPr>
          <w:rFonts w:cs="Times New Roman"/>
          <w:sz w:val="22"/>
          <w:szCs w:val="22"/>
        </w:rPr>
      </w:pPr>
    </w:p>
    <w:p>
      <w:pPr>
        <w:widowControl w:val="0"/>
        <w:spacing w:before="0" w:after="120"/>
        <w:jc w:val="right"/>
        <w:rPr>
          <w:rFonts w:ascii="Times New Roman" w:hAnsi="Times New Roman"/>
        </w:rPr>
      </w:pPr>
      <w:r>
        <w:rPr>
          <w:rFonts w:ascii="Times New Roman" w:hAnsi="Times New Roman" w:cs="Times New Roman"/>
          <w:sz w:val="22"/>
          <w:szCs w:val="22"/>
        </w:rPr>
        <w:t>Primavera do Leste MT, 22 de fevereiro de 2024</w:t>
      </w:r>
    </w:p>
    <w:p>
      <w:pPr>
        <w:pStyle w:val="60"/>
        <w:widowControl w:val="0"/>
        <w:spacing w:before="0" w:after="120"/>
        <w:contextualSpacing/>
        <w:jc w:val="both"/>
        <w:rPr>
          <w:sz w:val="20"/>
          <w:szCs w:val="20"/>
        </w:rPr>
      </w:pPr>
      <w:r>
        <w:rPr>
          <w:rFonts w:ascii="Times New Roman" w:hAnsi="Times New Roman" w:cs="Arial"/>
          <w:sz w:val="20"/>
          <w:szCs w:val="20"/>
        </w:rPr>
        <w:t>_______________________                                                          _________________________</w:t>
      </w:r>
    </w:p>
    <w:p>
      <w:pPr>
        <w:ind w:left="360"/>
        <w:jc w:val="center"/>
        <w:rPr>
          <w:sz w:val="20"/>
          <w:szCs w:val="20"/>
        </w:rPr>
      </w:pPr>
      <w:r>
        <w:rPr>
          <w:rFonts w:ascii="Times New Roman" w:hAnsi="Times New Roman"/>
          <w:sz w:val="20"/>
          <w:szCs w:val="20"/>
        </w:rPr>
        <w:t xml:space="preserve">   CLEYTON ANDERSSON DA SILVA ARAUJO                       JEFERSON  SCHERER SOLIMAN</w:t>
      </w:r>
    </w:p>
    <w:p>
      <w:pPr>
        <w:ind w:left="360"/>
        <w:rPr>
          <w:sz w:val="20"/>
          <w:szCs w:val="20"/>
        </w:rPr>
      </w:pPr>
      <w:r>
        <w:rPr>
          <w:rFonts w:ascii="Times New Roman" w:hAnsi="Times New Roman"/>
          <w:sz w:val="20"/>
          <w:szCs w:val="20"/>
        </w:rPr>
        <w:t xml:space="preserve">     Coordenador Administrativa                                                      Assessor de Tecnologia da Informação</w:t>
      </w:r>
      <w:r>
        <w:br w:type="page"/>
      </w:r>
    </w:p>
    <w:p>
      <w:pPr>
        <w:pStyle w:val="2"/>
        <w:numPr>
          <w:ilvl w:val="0"/>
          <w:numId w:val="0"/>
        </w:numPr>
        <w:spacing w:before="0" w:after="120"/>
        <w:ind w:left="0" w:firstLine="0"/>
        <w:jc w:val="center"/>
        <w:rPr>
          <w:rFonts w:ascii="Times New Roman" w:hAnsi="Times New Roman"/>
        </w:rPr>
      </w:pPr>
      <w:bookmarkStart w:id="61" w:name="_Toc149517467"/>
      <w:r>
        <w:t>ANEXO II - MODELO DE DECLARAÇÕES</w:t>
      </w:r>
      <w:bookmarkEnd w:id="61"/>
    </w:p>
    <w:p>
      <w:pPr>
        <w:pStyle w:val="3"/>
        <w:tabs>
          <w:tab w:val="left" w:pos="1134"/>
        </w:tabs>
        <w:spacing w:before="120" w:beforeAutospacing="0" w:after="120" w:afterAutospacing="0"/>
        <w:jc w:val="center"/>
        <w:textAlignment w:val="baseline"/>
        <w:rPr>
          <w:rFonts w:ascii="Times New Roman" w:hAnsi="Times New Roman"/>
        </w:rPr>
      </w:pPr>
    </w:p>
    <w:p>
      <w:pPr>
        <w:pStyle w:val="3"/>
        <w:tabs>
          <w:tab w:val="left" w:pos="1134"/>
        </w:tabs>
        <w:spacing w:before="120" w:beforeAutospacing="0" w:after="120" w:afterAutospacing="0"/>
        <w:jc w:val="center"/>
        <w:textAlignment w:val="baseline"/>
        <w:rPr>
          <w:rFonts w:ascii="Times New Roman" w:hAnsi="Times New Roman"/>
        </w:rPr>
      </w:pPr>
      <w:r>
        <w:t>(UTILIZAR PAPEL TIMBRADO DA EMPRESA)</w:t>
      </w:r>
    </w:p>
    <w:p>
      <w:pPr>
        <w:pStyle w:val="3"/>
        <w:tabs>
          <w:tab w:val="left" w:pos="1134"/>
        </w:tabs>
        <w:spacing w:before="120" w:beforeAutospacing="0" w:after="120" w:afterAutospacing="0"/>
        <w:ind w:firstLine="567"/>
        <w:jc w:val="both"/>
        <w:textAlignment w:val="baseline"/>
        <w:rPr>
          <w:rFonts w:ascii="Times New Roman" w:hAnsi="Times New Roman"/>
        </w:rPr>
      </w:pPr>
    </w:p>
    <w:p>
      <w:pPr>
        <w:pStyle w:val="3"/>
        <w:tabs>
          <w:tab w:val="left" w:pos="1134"/>
        </w:tabs>
        <w:spacing w:before="120" w:beforeAutospacing="0" w:after="120" w:afterAutospacing="0"/>
        <w:ind w:firstLine="567"/>
        <w:jc w:val="both"/>
        <w:textAlignment w:val="baseline"/>
        <w:rPr>
          <w:rStyle w:val="45"/>
          <w:color w:val="000000" w:themeColor="text1"/>
        </w:rPr>
      </w:pPr>
      <w:r>
        <w:t>A __________________________ (razão social da empresa), CNPJ nº ______________________, localizada à __________________, por seu representante legal abaixo-assinado, em cumprimento ao solicitado no Edital de Pregão nº 004/2024</w:t>
      </w:r>
    </w:p>
    <w:p>
      <w:pPr>
        <w:pStyle w:val="3"/>
        <w:numPr>
          <w:ilvl w:val="2"/>
          <w:numId w:val="1"/>
        </w:numPr>
        <w:tabs>
          <w:tab w:val="left" w:pos="1134"/>
        </w:tabs>
        <w:spacing w:before="120" w:beforeAutospacing="0" w:after="0" w:afterAutospacing="0"/>
        <w:jc w:val="both"/>
        <w:textAlignment w:val="baseline"/>
        <w:rPr>
          <w:rFonts w:ascii="Times New Roman" w:hAnsi="Times New Roman"/>
        </w:rPr>
      </w:pPr>
      <w:r>
        <w:rPr>
          <w:color w:val="000000"/>
        </w:rPr>
        <w:t>está ciente e concorda com as condições contidas no Edital e seus anexos, bem como de que cumpre plenamente os requisitos de habilitação definidos no Edital;</w:t>
      </w:r>
    </w:p>
    <w:p>
      <w:pPr>
        <w:pStyle w:val="3"/>
        <w:numPr>
          <w:ilvl w:val="2"/>
          <w:numId w:val="1"/>
        </w:numPr>
        <w:tabs>
          <w:tab w:val="left" w:pos="1134"/>
        </w:tabs>
        <w:spacing w:before="0" w:after="0"/>
        <w:jc w:val="both"/>
        <w:textAlignment w:val="baseline"/>
        <w:rPr>
          <w:rFonts w:ascii="Times New Roman" w:hAnsi="Times New Roman"/>
        </w:rPr>
      </w:pPr>
      <w:r>
        <w:rPr>
          <w:color w:val="000000"/>
        </w:rPr>
        <w:t>inexistem fatos impeditivos para sua habilitação no certame, ciente da obrigatoriedade de declarar ocorrências posteriores;</w:t>
      </w:r>
    </w:p>
    <w:p>
      <w:pPr>
        <w:pStyle w:val="3"/>
        <w:numPr>
          <w:ilvl w:val="2"/>
          <w:numId w:val="1"/>
        </w:numPr>
        <w:tabs>
          <w:tab w:val="left" w:pos="1134"/>
        </w:tabs>
        <w:spacing w:before="0" w:beforeAutospacing="0" w:after="0" w:afterAutospacing="0"/>
        <w:jc w:val="both"/>
        <w:textAlignment w:val="baseline"/>
      </w:pPr>
      <w:r>
        <w:rPr>
          <w:color w:val="000000"/>
        </w:rPr>
        <w:t xml:space="preserve">não emprega menor de 18 anos em trabalho noturno, perigoso ou insalubre e não emprega menor de 16 anos, salvo menor, a partir de 14 anos, na condição de aprendiz, nos termos do </w:t>
      </w:r>
      <w:r>
        <w:fldChar w:fldCharType="begin"/>
      </w:r>
      <w:r>
        <w:rPr>
          <w:rStyle w:val="54"/>
        </w:rPr>
        <w:instrText xml:space="preserve"> HYPERLINK "https://www.planalto.gov.br/ccivil_03/constituicao/constituicao.htm" \l "art7"</w:instrText>
      </w:r>
      <w:r>
        <w:rPr>
          <w:rStyle w:val="54"/>
        </w:rPr>
        <w:fldChar w:fldCharType="separate"/>
      </w:r>
      <w:r>
        <w:rPr>
          <w:rStyle w:val="54"/>
        </w:rPr>
        <w:t>art. 7°, XXXIII, da Constituição Federal de 1988</w:t>
      </w:r>
      <w:r>
        <w:rPr>
          <w:rStyle w:val="54"/>
        </w:rPr>
        <w:fldChar w:fldCharType="end"/>
      </w:r>
      <w:r>
        <w:rPr>
          <w:color w:val="000000"/>
        </w:rPr>
        <w:t>;</w:t>
      </w:r>
    </w:p>
    <w:p>
      <w:pPr>
        <w:pStyle w:val="3"/>
        <w:numPr>
          <w:ilvl w:val="2"/>
          <w:numId w:val="1"/>
        </w:numPr>
        <w:tabs>
          <w:tab w:val="left" w:pos="1134"/>
        </w:tabs>
        <w:spacing w:before="0" w:beforeAutospacing="0" w:after="0" w:afterAutospacing="0"/>
        <w:jc w:val="both"/>
        <w:textAlignment w:val="baseline"/>
      </w:pPr>
      <w:r>
        <w:rPr>
          <w:color w:val="000000"/>
        </w:rPr>
        <w:t>não mantém vínculo de natureza técnica, comercial, econômica, financeira, trabalhista ou civil com dirigente da Câmara Municipal de Primavera do Leste - MT</w:t>
      </w:r>
      <w:r>
        <w:t xml:space="preserve"> </w:t>
      </w:r>
      <w:r>
        <w:rPr>
          <w:color w:val="000000"/>
        </w:rPr>
        <w:t>ou que deles seja cônjuge, companheiro ou parente em linha reta, colateral ou por afinidade, até o terceiro grau (</w:t>
      </w:r>
      <w:r>
        <w:fldChar w:fldCharType="begin"/>
      </w:r>
      <w:r>
        <w:rPr>
          <w:rStyle w:val="54"/>
        </w:rPr>
        <w:instrText xml:space="preserve"> HYPERLINK "https://www.planalto.gov.br/ccivil_03/_ato2019-2022/2021/lei/l14133.htm" \l "art14"</w:instrText>
      </w:r>
      <w:r>
        <w:rPr>
          <w:rStyle w:val="54"/>
        </w:rPr>
        <w:fldChar w:fldCharType="separate"/>
      </w:r>
      <w:r>
        <w:rPr>
          <w:rStyle w:val="54"/>
        </w:rPr>
        <w:t>art. 14, IV, da Lei Federal nº 14.133, de 2021</w:t>
      </w:r>
      <w:r>
        <w:rPr>
          <w:rStyle w:val="54"/>
        </w:rPr>
        <w:fldChar w:fldCharType="end"/>
      </w:r>
      <w:r>
        <w:rPr>
          <w:color w:val="000000"/>
        </w:rPr>
        <w:t>);</w:t>
      </w:r>
    </w:p>
    <w:p>
      <w:pPr>
        <w:pStyle w:val="3"/>
        <w:numPr>
          <w:ilvl w:val="2"/>
          <w:numId w:val="1"/>
        </w:numPr>
        <w:tabs>
          <w:tab w:val="left" w:pos="1134"/>
        </w:tabs>
        <w:spacing w:before="0" w:beforeAutospacing="0" w:after="120" w:afterAutospacing="0"/>
        <w:jc w:val="both"/>
        <w:textAlignment w:val="baseline"/>
      </w:pPr>
      <w:r>
        <w:rPr>
          <w:color w:val="000000"/>
        </w:rPr>
        <w:t xml:space="preserve">cumpre as exigências de reserva de cargos para pessoa com deficiência e para reabilitado da Previdência Social, previstas em lei e em outras normas específicas, em especial no </w:t>
      </w:r>
      <w:r>
        <w:fldChar w:fldCharType="begin"/>
      </w:r>
      <w:r>
        <w:rPr>
          <w:rStyle w:val="54"/>
        </w:rPr>
        <w:instrText xml:space="preserve"> HYPERLINK "https://www.planalto.gov.br/ccivil_03/leis/l8213cons.htm" \l "art93"</w:instrText>
      </w:r>
      <w:r>
        <w:rPr>
          <w:rStyle w:val="54"/>
        </w:rPr>
        <w:fldChar w:fldCharType="separate"/>
      </w:r>
      <w:r>
        <w:rPr>
          <w:rStyle w:val="54"/>
        </w:rPr>
        <w:t>art. 93 da Lei Federal nº 8.213, de 1991</w:t>
      </w:r>
      <w:r>
        <w:rPr>
          <w:rStyle w:val="54"/>
        </w:rPr>
        <w:fldChar w:fldCharType="end"/>
      </w:r>
      <w:r>
        <w:rPr>
          <w:color w:val="000000"/>
        </w:rPr>
        <w:t xml:space="preserve"> (</w:t>
      </w:r>
      <w:r>
        <w:fldChar w:fldCharType="begin"/>
      </w:r>
      <w:r>
        <w:rPr>
          <w:rStyle w:val="54"/>
        </w:rPr>
        <w:instrText xml:space="preserve"> HYPERLINK "https://www.planalto.gov.br/ccivil_03/_ato2019-2022/2021/lei/l14133.htm" \l "art63"</w:instrText>
      </w:r>
      <w:r>
        <w:rPr>
          <w:rStyle w:val="54"/>
        </w:rPr>
        <w:fldChar w:fldCharType="separate"/>
      </w:r>
      <w:r>
        <w:rPr>
          <w:rStyle w:val="54"/>
        </w:rPr>
        <w:t>art. 63, IV, da Lei Federal nº 14.133, de 2021</w:t>
      </w:r>
      <w:r>
        <w:rPr>
          <w:rStyle w:val="54"/>
        </w:rPr>
        <w:fldChar w:fldCharType="end"/>
      </w:r>
      <w:r>
        <w:rPr>
          <w:color w:val="000000"/>
        </w:rPr>
        <w:t>).</w:t>
      </w:r>
    </w:p>
    <w:p>
      <w:pPr>
        <w:pStyle w:val="3"/>
        <w:tabs>
          <w:tab w:val="left" w:pos="1134"/>
        </w:tabs>
        <w:spacing w:before="120" w:beforeAutospacing="0" w:after="120" w:afterAutospacing="0"/>
        <w:ind w:firstLine="567"/>
        <w:jc w:val="both"/>
        <w:textAlignment w:val="baseline"/>
        <w:rPr>
          <w:rFonts w:ascii="Times New Roman" w:hAnsi="Times New Roman"/>
        </w:rPr>
      </w:pPr>
    </w:p>
    <w:p>
      <w:pPr>
        <w:pStyle w:val="3"/>
        <w:tabs>
          <w:tab w:val="left" w:pos="1134"/>
        </w:tabs>
        <w:spacing w:before="120" w:beforeAutospacing="0" w:after="120" w:afterAutospacing="0"/>
        <w:ind w:firstLine="567"/>
        <w:jc w:val="both"/>
        <w:textAlignment w:val="baseline"/>
        <w:rPr>
          <w:rFonts w:ascii="Times New Roman" w:hAnsi="Times New Roman"/>
        </w:rPr>
      </w:pPr>
      <w:r>
        <w:t>Local e data.</w:t>
      </w:r>
    </w:p>
    <w:p>
      <w:pPr>
        <w:pStyle w:val="3"/>
        <w:tabs>
          <w:tab w:val="left" w:pos="1134"/>
        </w:tabs>
        <w:spacing w:before="120" w:beforeAutospacing="0" w:after="120" w:afterAutospacing="0"/>
        <w:ind w:firstLine="567"/>
        <w:jc w:val="both"/>
        <w:textAlignment w:val="baseline"/>
        <w:rPr>
          <w:rFonts w:ascii="Times New Roman" w:hAnsi="Times New Roman"/>
        </w:rPr>
      </w:pPr>
    </w:p>
    <w:p>
      <w:pPr>
        <w:pStyle w:val="3"/>
        <w:tabs>
          <w:tab w:val="left" w:pos="1134"/>
        </w:tabs>
        <w:spacing w:before="120" w:beforeAutospacing="0" w:after="120" w:afterAutospacing="0"/>
        <w:jc w:val="center"/>
        <w:textAlignment w:val="baseline"/>
        <w:rPr>
          <w:rFonts w:ascii="Times New Roman" w:hAnsi="Times New Roman"/>
        </w:rPr>
      </w:pPr>
      <w:r>
        <w:t>___________________________________________________</w:t>
      </w:r>
    </w:p>
    <w:p>
      <w:pPr>
        <w:pStyle w:val="3"/>
        <w:tabs>
          <w:tab w:val="left" w:pos="1134"/>
        </w:tabs>
        <w:spacing w:before="120" w:beforeAutospacing="0" w:after="120" w:afterAutospacing="0"/>
        <w:jc w:val="center"/>
        <w:textAlignment w:val="baseline"/>
        <w:rPr>
          <w:rFonts w:ascii="Times New Roman" w:hAnsi="Times New Roman"/>
        </w:rPr>
      </w:pPr>
      <w:r>
        <w:t>(assinatura e identificação do responsável pela empresa)</w:t>
      </w:r>
    </w:p>
    <w:p>
      <w:pPr>
        <w:rPr>
          <w:rFonts w:ascii="Times New Roman" w:hAnsi="Times New Roman" w:eastAsia="Times New Roman" w:cs="Times New Roman"/>
          <w:sz w:val="24"/>
          <w:szCs w:val="24"/>
          <w:lang w:eastAsia="pt-BR"/>
        </w:rPr>
      </w:pPr>
      <w:r>
        <w:br w:type="page"/>
      </w:r>
    </w:p>
    <w:p>
      <w:pPr>
        <w:pStyle w:val="2"/>
        <w:numPr>
          <w:ilvl w:val="0"/>
          <w:numId w:val="0"/>
        </w:numPr>
        <w:spacing w:before="0" w:after="120"/>
        <w:ind w:left="0" w:firstLine="0"/>
        <w:jc w:val="center"/>
        <w:rPr>
          <w:rFonts w:ascii="Times New Roman" w:hAnsi="Times New Roman"/>
        </w:rPr>
      </w:pPr>
      <w:bookmarkStart w:id="62" w:name="_Toc149517468"/>
      <w:r>
        <w:t>ANEXO III - MODELO DE PROPOSTA</w:t>
      </w:r>
      <w:bookmarkEnd w:id="62"/>
    </w:p>
    <w:p>
      <w:pPr>
        <w:pStyle w:val="3"/>
        <w:tabs>
          <w:tab w:val="left" w:pos="1134"/>
        </w:tabs>
        <w:spacing w:before="120" w:beforeAutospacing="0" w:after="120" w:afterAutospacing="0"/>
        <w:jc w:val="center"/>
        <w:textAlignment w:val="baseline"/>
        <w:rPr>
          <w:rFonts w:ascii="Times New Roman" w:hAnsi="Times New Roman"/>
        </w:rPr>
      </w:pPr>
    </w:p>
    <w:p>
      <w:pPr>
        <w:pStyle w:val="3"/>
        <w:tabs>
          <w:tab w:val="left" w:pos="1134"/>
        </w:tabs>
        <w:spacing w:before="120" w:beforeAutospacing="0" w:after="120" w:afterAutospacing="0"/>
        <w:jc w:val="center"/>
        <w:textAlignment w:val="baseline"/>
        <w:rPr>
          <w:rFonts w:ascii="Times New Roman" w:hAnsi="Times New Roman"/>
        </w:rPr>
      </w:pPr>
      <w:r>
        <w:t>(UTILIZAR PAPEL TIMBRADO DA EMPRESA)</w:t>
      </w:r>
    </w:p>
    <w:p>
      <w:pPr>
        <w:spacing w:before="0" w:after="0" w:line="240" w:lineRule="auto"/>
        <w:jc w:val="both"/>
        <w:rPr>
          <w:rFonts w:ascii="Times New Roman" w:hAnsi="Times New Roman"/>
        </w:rPr>
      </w:pPr>
      <w:r>
        <w:rPr>
          <w:rFonts w:ascii="Times New Roman" w:hAnsi="Times New Roman" w:cs="Times New Roman"/>
          <w:sz w:val="24"/>
          <w:szCs w:val="24"/>
        </w:rPr>
        <w:t>À</w:t>
      </w:r>
    </w:p>
    <w:p>
      <w:pPr>
        <w:spacing w:before="0" w:after="0" w:line="240" w:lineRule="auto"/>
        <w:jc w:val="both"/>
        <w:rPr>
          <w:rFonts w:ascii="Times New Roman" w:hAnsi="Times New Roman"/>
        </w:rPr>
      </w:pPr>
      <w:r>
        <w:rPr>
          <w:rFonts w:ascii="Times New Roman" w:hAnsi="Times New Roman" w:cs="Times New Roman"/>
          <w:b/>
          <w:bCs/>
          <w:sz w:val="24"/>
          <w:szCs w:val="24"/>
        </w:rPr>
        <w:t>Câmara Municipal de Primavera do Leste – MT</w:t>
      </w:r>
    </w:p>
    <w:p>
      <w:pPr>
        <w:spacing w:before="0" w:after="0" w:line="240" w:lineRule="auto"/>
        <w:jc w:val="both"/>
        <w:rPr>
          <w:rFonts w:ascii="Times New Roman" w:hAnsi="Times New Roman"/>
        </w:rPr>
      </w:pPr>
      <w:r>
        <w:rPr>
          <w:rFonts w:ascii="Times New Roman" w:hAnsi="Times New Roman" w:cs="Times New Roman"/>
          <w:sz w:val="24"/>
          <w:szCs w:val="24"/>
        </w:rPr>
        <w:t>A/C Pregoeiro do Pregão nº 004/2024</w:t>
      </w:r>
    </w:p>
    <w:p>
      <w:pPr>
        <w:spacing w:before="0" w:after="0" w:line="240" w:lineRule="auto"/>
        <w:jc w:val="both"/>
        <w:rPr>
          <w:rFonts w:ascii="Times New Roman" w:hAnsi="Times New Roman"/>
        </w:rPr>
      </w:pPr>
      <w:r>
        <w:rPr>
          <w:rFonts w:ascii="Times New Roman" w:hAnsi="Times New Roman" w:cs="Times New Roman"/>
          <w:sz w:val="24"/>
          <w:szCs w:val="24"/>
        </w:rPr>
        <w:t>Primavera do Leste - Mato Grosso.</w:t>
      </w:r>
    </w:p>
    <w:p>
      <w:pPr>
        <w:spacing w:before="0" w:after="0" w:line="240" w:lineRule="auto"/>
        <w:jc w:val="both"/>
        <w:rPr>
          <w:rFonts w:ascii="Times New Roman" w:hAnsi="Times New Roman" w:cs="Times New Roman"/>
          <w:sz w:val="24"/>
          <w:szCs w:val="24"/>
        </w:rPr>
      </w:pPr>
    </w:p>
    <w:p>
      <w:pPr>
        <w:jc w:val="center"/>
        <w:rPr>
          <w:rFonts w:ascii="Times New Roman" w:hAnsi="Times New Roman"/>
        </w:rPr>
      </w:pPr>
      <w:r>
        <w:rPr>
          <w:rFonts w:ascii="Times New Roman" w:hAnsi="Times New Roman" w:cs="Times New Roman"/>
          <w:b/>
          <w:bCs/>
          <w:sz w:val="24"/>
          <w:szCs w:val="24"/>
          <w:u w:val="single"/>
        </w:rPr>
        <w:t>PROPOSTA</w:t>
      </w:r>
    </w:p>
    <w:p>
      <w:pPr>
        <w:spacing w:before="0" w:after="0" w:line="240" w:lineRule="auto"/>
        <w:ind w:firstLine="2268"/>
        <w:jc w:val="both"/>
        <w:rPr>
          <w:rFonts w:ascii="Times New Roman" w:hAnsi="Times New Roman"/>
        </w:rPr>
      </w:pPr>
      <w:r>
        <w:rPr>
          <w:rFonts w:ascii="Times New Roman" w:hAnsi="Times New Roman" w:cs="Times New Roman"/>
          <w:sz w:val="24"/>
          <w:szCs w:val="24"/>
        </w:rPr>
        <w:t>O proponente a seguir identificado:</w:t>
      </w:r>
    </w:p>
    <w:tbl>
      <w:tblPr>
        <w:tblStyle w:val="42"/>
        <w:tblW w:w="8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6"/>
        <w:gridCol w:w="1488"/>
        <w:gridCol w:w="1485"/>
        <w:gridCol w:w="2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21" w:type="dxa"/>
            <w:gridSpan w:val="4"/>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Razão Social:</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CNPJ:</w:t>
            </w:r>
          </w:p>
          <w:p>
            <w:pPr>
              <w:widowControl/>
              <w:suppressAutoHyphens/>
              <w:spacing w:before="0" w:after="0" w:line="240" w:lineRule="auto"/>
              <w:jc w:val="both"/>
              <w:rPr>
                <w:rFonts w:ascii="Times New Roman" w:hAnsi="Times New Roman" w:cs="Times New Roman"/>
                <w:sz w:val="16"/>
                <w:szCs w:val="16"/>
              </w:rPr>
            </w:pPr>
          </w:p>
        </w:tc>
        <w:tc>
          <w:tcPr>
            <w:tcW w:w="5945" w:type="dxa"/>
            <w:gridSpan w:val="3"/>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Nome Fantasia:</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Logradouro:</w:t>
            </w:r>
          </w:p>
          <w:p>
            <w:pPr>
              <w:widowControl/>
              <w:suppressAutoHyphens/>
              <w:spacing w:before="0" w:after="0" w:line="240" w:lineRule="auto"/>
              <w:jc w:val="both"/>
              <w:rPr>
                <w:rFonts w:ascii="Times New Roman" w:hAnsi="Times New Roman" w:cs="Times New Roman"/>
                <w:sz w:val="16"/>
                <w:szCs w:val="16"/>
              </w:rPr>
            </w:pPr>
          </w:p>
        </w:tc>
        <w:tc>
          <w:tcPr>
            <w:tcW w:w="2972"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Número:</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4" w:type="dxa"/>
            <w:gridSpan w:val="2"/>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Complemento:</w:t>
            </w:r>
          </w:p>
          <w:p>
            <w:pPr>
              <w:widowControl/>
              <w:suppressAutoHyphens/>
              <w:spacing w:before="0" w:after="0" w:line="240" w:lineRule="auto"/>
              <w:jc w:val="both"/>
              <w:rPr>
                <w:rFonts w:ascii="Times New Roman" w:hAnsi="Times New Roman" w:cs="Times New Roman"/>
                <w:sz w:val="16"/>
                <w:szCs w:val="16"/>
              </w:rPr>
            </w:pPr>
          </w:p>
        </w:tc>
        <w:tc>
          <w:tcPr>
            <w:tcW w:w="4457" w:type="dxa"/>
            <w:gridSpan w:val="2"/>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Bairro:</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Cidade:</w:t>
            </w:r>
          </w:p>
          <w:p>
            <w:pPr>
              <w:widowControl/>
              <w:suppressAutoHyphens/>
              <w:spacing w:before="0" w:after="0" w:line="240" w:lineRule="auto"/>
              <w:jc w:val="both"/>
              <w:rPr>
                <w:rFonts w:ascii="Times New Roman" w:hAnsi="Times New Roman" w:cs="Times New Roman"/>
                <w:sz w:val="16"/>
                <w:szCs w:val="16"/>
              </w:rPr>
            </w:pPr>
          </w:p>
        </w:tc>
        <w:tc>
          <w:tcPr>
            <w:tcW w:w="2972"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CEP:</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Telefone Fixo:</w:t>
            </w:r>
          </w:p>
          <w:p>
            <w:pPr>
              <w:widowControl/>
              <w:suppressAutoHyphens/>
              <w:spacing w:before="0" w:after="0" w:line="240" w:lineRule="auto"/>
              <w:jc w:val="both"/>
              <w:rPr>
                <w:rFonts w:ascii="Times New Roman" w:hAnsi="Times New Roman" w:cs="Times New Roman"/>
                <w:sz w:val="16"/>
                <w:szCs w:val="16"/>
              </w:rPr>
            </w:pPr>
          </w:p>
        </w:tc>
        <w:tc>
          <w:tcPr>
            <w:tcW w:w="5945" w:type="dxa"/>
            <w:gridSpan w:val="3"/>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Email:</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Banco:</w:t>
            </w:r>
          </w:p>
          <w:p>
            <w:pPr>
              <w:widowControl/>
              <w:suppressAutoHyphens/>
              <w:spacing w:before="0" w:after="0" w:line="240" w:lineRule="auto"/>
              <w:jc w:val="both"/>
              <w:rPr>
                <w:rFonts w:ascii="Times New Roman" w:hAnsi="Times New Roman" w:cs="Times New Roman"/>
                <w:sz w:val="16"/>
                <w:szCs w:val="16"/>
              </w:rPr>
            </w:pPr>
          </w:p>
        </w:tc>
        <w:tc>
          <w:tcPr>
            <w:tcW w:w="2973" w:type="dxa"/>
            <w:gridSpan w:val="2"/>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Agência:</w:t>
            </w:r>
          </w:p>
          <w:p>
            <w:pPr>
              <w:widowControl/>
              <w:suppressAutoHyphens/>
              <w:spacing w:before="0" w:after="0" w:line="240" w:lineRule="auto"/>
              <w:jc w:val="both"/>
              <w:rPr>
                <w:rFonts w:ascii="Times New Roman" w:hAnsi="Times New Roman" w:cs="Times New Roman"/>
                <w:sz w:val="16"/>
                <w:szCs w:val="16"/>
              </w:rPr>
            </w:pPr>
          </w:p>
        </w:tc>
        <w:tc>
          <w:tcPr>
            <w:tcW w:w="2972"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Conta:</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Representante:</w:t>
            </w:r>
          </w:p>
          <w:p>
            <w:pPr>
              <w:widowControl/>
              <w:suppressAutoHyphens/>
              <w:spacing w:before="0" w:after="0" w:line="240" w:lineRule="auto"/>
              <w:jc w:val="both"/>
              <w:rPr>
                <w:rFonts w:ascii="Times New Roman" w:hAnsi="Times New Roman" w:cs="Times New Roman"/>
                <w:sz w:val="16"/>
                <w:szCs w:val="16"/>
              </w:rPr>
            </w:pPr>
          </w:p>
        </w:tc>
        <w:tc>
          <w:tcPr>
            <w:tcW w:w="2972"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Telefone Celular:</w:t>
            </w:r>
          </w:p>
          <w:p>
            <w:pPr>
              <w:widowControl/>
              <w:suppressAutoHyphens/>
              <w:spacing w:before="0" w:after="0" w:line="240" w:lineRule="auto"/>
              <w:jc w:val="both"/>
              <w:rPr>
                <w:rFonts w:ascii="Times New Roman" w:hAnsi="Times New Roman" w:cs="Times New Roman"/>
                <w:sz w:val="16"/>
                <w:szCs w:val="16"/>
              </w:rPr>
            </w:pPr>
          </w:p>
        </w:tc>
      </w:tr>
    </w:tbl>
    <w:p>
      <w:pPr>
        <w:spacing w:before="0" w:after="0" w:line="240" w:lineRule="auto"/>
        <w:jc w:val="both"/>
        <w:rPr>
          <w:rFonts w:ascii="Times New Roman" w:hAnsi="Times New Roman" w:cs="Times New Roman"/>
          <w:sz w:val="24"/>
          <w:szCs w:val="24"/>
        </w:rPr>
      </w:pPr>
    </w:p>
    <w:p>
      <w:pPr>
        <w:spacing w:before="0" w:after="0" w:line="240" w:lineRule="auto"/>
        <w:ind w:firstLine="2268"/>
        <w:jc w:val="both"/>
        <w:rPr>
          <w:rFonts w:ascii="Times New Roman" w:hAnsi="Times New Roman"/>
        </w:rPr>
      </w:pPr>
      <w:r>
        <w:rPr>
          <w:rFonts w:ascii="Times New Roman" w:hAnsi="Times New Roman" w:cs="Times New Roman"/>
          <w:sz w:val="24"/>
          <w:szCs w:val="24"/>
        </w:rPr>
        <w:t>Em atendimento ao disposto no Pregão nº 004/2024</w:t>
      </w:r>
      <w:r>
        <w:rPr>
          <w:rFonts w:ascii="Times New Roman" w:hAnsi="Times New Roman" w:cs="Times New Roman"/>
          <w:sz w:val="24"/>
          <w:szCs w:val="24"/>
          <w:shd w:val="clear" w:fill="auto"/>
        </w:rPr>
        <w:t xml:space="preserve">, </w:t>
      </w:r>
      <w:r>
        <w:rPr>
          <w:rFonts w:ascii="Times New Roman" w:hAnsi="Times New Roman" w:cs="Times New Roman"/>
          <w:sz w:val="24"/>
          <w:szCs w:val="24"/>
        </w:rPr>
        <w:t>após análise do referido edital e tendo pleno conhecimento do seu conteúdo, se propõe a fornecer as mercadorias objeto da licitação, sob sua inteira responsabilidade, nas condições a seguir:</w:t>
      </w:r>
    </w:p>
    <w:p>
      <w:pPr>
        <w:spacing w:before="0" w:after="0" w:line="240" w:lineRule="auto"/>
        <w:ind w:firstLine="2268"/>
        <w:jc w:val="both"/>
        <w:rPr>
          <w:rFonts w:ascii="Times New Roman" w:hAnsi="Times New Roman" w:cs="Times New Roman"/>
          <w:sz w:val="24"/>
          <w:szCs w:val="24"/>
        </w:rPr>
      </w:pPr>
    </w:p>
    <w:tbl>
      <w:tblPr>
        <w:tblStyle w:val="9"/>
        <w:tblW w:w="5000" w:type="pct"/>
        <w:tblInd w:w="0" w:type="dxa"/>
        <w:tblLayout w:type="fixed"/>
        <w:tblCellMar>
          <w:top w:w="0" w:type="dxa"/>
          <w:left w:w="28" w:type="dxa"/>
          <w:bottom w:w="0" w:type="dxa"/>
          <w:right w:w="28" w:type="dxa"/>
        </w:tblCellMar>
      </w:tblPr>
      <w:tblGrid>
        <w:gridCol w:w="646"/>
        <w:gridCol w:w="4448"/>
        <w:gridCol w:w="884"/>
        <w:gridCol w:w="708"/>
        <w:gridCol w:w="1048"/>
        <w:gridCol w:w="1253"/>
      </w:tblGrid>
      <w:tr>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highlight w:val="none"/>
              </w:rPr>
            </w:pPr>
            <w:r>
              <w:rPr>
                <w:rFonts w:ascii="Times New Roman" w:hAnsi="Times New Roman" w:cs="Times New Roman"/>
                <w:b/>
                <w:bCs/>
                <w:sz w:val="20"/>
                <w:szCs w:val="20"/>
                <w:highlight w:val="none"/>
              </w:rPr>
              <w:t>Item</w:t>
            </w:r>
          </w:p>
        </w:tc>
        <w:tc>
          <w:tcPr>
            <w:tcW w:w="44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highlight w:val="none"/>
              </w:rPr>
            </w:pPr>
            <w:r>
              <w:rPr>
                <w:rFonts w:ascii="Times New Roman" w:hAnsi="Times New Roman" w:cs="Times New Roman"/>
                <w:b/>
                <w:bCs/>
                <w:sz w:val="20"/>
                <w:szCs w:val="20"/>
                <w:highlight w:val="none"/>
              </w:rPr>
              <w:t>Descrição</w:t>
            </w:r>
          </w:p>
        </w:tc>
        <w:tc>
          <w:tcPr>
            <w:tcW w:w="878"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highlight w:val="none"/>
              </w:rPr>
            </w:pPr>
            <w:r>
              <w:rPr>
                <w:rFonts w:ascii="Times New Roman" w:hAnsi="Times New Roman" w:cs="Times New Roman"/>
                <w:b/>
                <w:bCs/>
                <w:sz w:val="20"/>
                <w:szCs w:val="20"/>
                <w:highlight w:val="none"/>
              </w:rPr>
              <w:t>Unidade</w:t>
            </w:r>
          </w:p>
        </w:tc>
        <w:tc>
          <w:tcPr>
            <w:tcW w:w="70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highlight w:val="none"/>
              </w:rPr>
            </w:pPr>
            <w:r>
              <w:rPr>
                <w:rFonts w:ascii="Times New Roman" w:hAnsi="Times New Roman" w:cs="Times New Roman"/>
                <w:b/>
                <w:bCs/>
                <w:sz w:val="20"/>
                <w:szCs w:val="20"/>
                <w:highlight w:val="none"/>
              </w:rPr>
              <w:t>Qtde</w:t>
            </w:r>
          </w:p>
        </w:tc>
        <w:tc>
          <w:tcPr>
            <w:tcW w:w="104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highlight w:val="none"/>
              </w:rPr>
            </w:pPr>
            <w:r>
              <w:rPr>
                <w:rFonts w:ascii="Times New Roman" w:hAnsi="Times New Roman" w:cs="Times New Roman"/>
                <w:b/>
                <w:bCs/>
                <w:sz w:val="20"/>
                <w:szCs w:val="20"/>
                <w:highlight w:val="none"/>
              </w:rPr>
              <w:t>Preço</w:t>
            </w:r>
          </w:p>
          <w:p>
            <w:pPr>
              <w:spacing w:before="0" w:after="0" w:line="240" w:lineRule="auto"/>
              <w:jc w:val="center"/>
              <w:rPr>
                <w:rFonts w:ascii="Times New Roman" w:hAnsi="Times New Roman"/>
                <w:highlight w:val="none"/>
              </w:rPr>
            </w:pPr>
            <w:r>
              <w:rPr>
                <w:rFonts w:ascii="Times New Roman" w:hAnsi="Times New Roman" w:cs="Times New Roman"/>
                <w:b/>
                <w:bCs/>
                <w:sz w:val="20"/>
                <w:szCs w:val="20"/>
                <w:highlight w:val="none"/>
              </w:rPr>
              <w:t>Unitário</w:t>
            </w:r>
          </w:p>
        </w:tc>
        <w:tc>
          <w:tcPr>
            <w:tcW w:w="124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highlight w:val="none"/>
              </w:rPr>
            </w:pPr>
            <w:r>
              <w:rPr>
                <w:rFonts w:ascii="Times New Roman" w:hAnsi="Times New Roman" w:cs="Times New Roman"/>
                <w:b/>
                <w:sz w:val="20"/>
                <w:szCs w:val="20"/>
                <w:highlight w:val="none"/>
              </w:rPr>
              <w:t>Preço</w:t>
            </w:r>
          </w:p>
          <w:p>
            <w:pPr>
              <w:spacing w:before="0" w:after="0" w:line="240" w:lineRule="auto"/>
              <w:jc w:val="center"/>
              <w:rPr>
                <w:rFonts w:ascii="Times New Roman" w:hAnsi="Times New Roman"/>
                <w:highlight w:val="none"/>
              </w:rPr>
            </w:pPr>
            <w:r>
              <w:rPr>
                <w:rFonts w:ascii="Times New Roman" w:hAnsi="Times New Roman" w:cs="Times New Roman"/>
                <w:b/>
                <w:sz w:val="20"/>
                <w:szCs w:val="20"/>
                <w:highlight w:val="none"/>
              </w:rPr>
              <w:t>Total</w:t>
            </w:r>
            <w:r>
              <w:rPr>
                <w:rStyle w:val="15"/>
                <w:rFonts w:ascii="Times New Roman" w:hAnsi="Times New Roman" w:cs="Times New Roman"/>
                <w:b/>
                <w:sz w:val="20"/>
                <w:szCs w:val="20"/>
                <w:highlight w:val="none"/>
              </w:rPr>
              <w:footnoteReference w:id="0"/>
            </w:r>
          </w:p>
        </w:tc>
      </w:tr>
      <w:tr>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tcPr>
          <w:p>
            <w:pPr>
              <w:spacing w:before="0" w:after="0" w:line="240" w:lineRule="auto"/>
              <w:rPr>
                <w:rFonts w:ascii="Times New Roman" w:hAnsi="Times New Roman"/>
                <w:highlight w:val="none"/>
              </w:rPr>
            </w:pPr>
            <w:r>
              <w:rPr>
                <w:rFonts w:ascii="Times New Roman" w:hAnsi="Times New Roman" w:cs="Times New Roman"/>
                <w:color w:val="000000"/>
                <w:sz w:val="20"/>
                <w:szCs w:val="20"/>
                <w:highlight w:val="none"/>
              </w:rPr>
              <w:t>Único</w:t>
            </w:r>
          </w:p>
        </w:tc>
        <w:tc>
          <w:tcPr>
            <w:tcW w:w="4420" w:type="dxa"/>
            <w:tcBorders>
              <w:top w:val="single" w:color="000000" w:sz="4" w:space="0"/>
              <w:left w:val="single" w:color="000000" w:sz="4" w:space="0"/>
              <w:bottom w:val="single" w:color="000000" w:sz="4" w:space="0"/>
              <w:right w:val="single" w:color="000000" w:sz="4" w:space="0"/>
            </w:tcBorders>
            <w:vAlign w:val="center"/>
          </w:tcPr>
          <w:p>
            <w:pPr>
              <w:spacing w:before="0" w:after="0" w:line="240" w:lineRule="auto"/>
              <w:jc w:val="both"/>
              <w:rPr>
                <w:rFonts w:ascii="Times New Roman" w:hAnsi="Times New Roman"/>
                <w:highlight w:val="none"/>
              </w:rPr>
            </w:pPr>
            <w:r>
              <w:rPr>
                <w:rFonts w:ascii="Times New Roman" w:hAnsi="Times New Roman" w:eastAsia="Times New Roman" w:cs="Times New Roman"/>
                <w:color w:val="000000"/>
                <w:sz w:val="20"/>
                <w:szCs w:val="20"/>
                <w:highlight w:val="none"/>
                <w:lang w:eastAsia="pt-BR"/>
              </w:rPr>
              <w:t>XXX</w:t>
            </w:r>
          </w:p>
        </w:tc>
        <w:tc>
          <w:tcPr>
            <w:tcW w:w="878" w:type="dxa"/>
            <w:tcBorders>
              <w:top w:val="single" w:color="000000" w:sz="4" w:space="0"/>
              <w:left w:val="single" w:color="000000" w:sz="4" w:space="0"/>
              <w:bottom w:val="single" w:color="000000" w:sz="4" w:space="0"/>
              <w:right w:val="single" w:color="000000" w:sz="4" w:space="0"/>
            </w:tcBorders>
          </w:tcPr>
          <w:p>
            <w:pPr>
              <w:spacing w:before="0" w:after="0" w:line="240" w:lineRule="auto"/>
              <w:jc w:val="both"/>
              <w:rPr>
                <w:rFonts w:ascii="Times New Roman" w:hAnsi="Times New Roman"/>
                <w:highlight w:val="none"/>
              </w:rPr>
            </w:pPr>
            <w:r>
              <w:rPr>
                <w:rFonts w:ascii="Times New Roman" w:hAnsi="Times New Roman" w:eastAsia="Times New Roman" w:cs="Times New Roman"/>
                <w:color w:val="000000"/>
                <w:sz w:val="20"/>
                <w:szCs w:val="20"/>
                <w:highlight w:val="none"/>
                <w:lang w:eastAsia="pt-BR"/>
              </w:rPr>
              <w:t>XXX</w:t>
            </w:r>
          </w:p>
        </w:tc>
        <w:tc>
          <w:tcPr>
            <w:tcW w:w="704" w:type="dxa"/>
            <w:tcBorders>
              <w:top w:val="single" w:color="000000" w:sz="4" w:space="0"/>
              <w:left w:val="single" w:color="000000" w:sz="4" w:space="0"/>
              <w:bottom w:val="single" w:color="000000" w:sz="4" w:space="0"/>
              <w:right w:val="single" w:color="000000" w:sz="4" w:space="0"/>
            </w:tcBorders>
          </w:tcPr>
          <w:p>
            <w:pPr>
              <w:spacing w:before="0" w:after="0" w:line="240" w:lineRule="auto"/>
              <w:rPr>
                <w:rFonts w:ascii="Times New Roman" w:hAnsi="Times New Roman"/>
                <w:highlight w:val="none"/>
              </w:rPr>
            </w:pPr>
            <w:r>
              <w:rPr>
                <w:rFonts w:ascii="Times New Roman" w:hAnsi="Times New Roman" w:cs="Times New Roman"/>
                <w:bCs/>
                <w:sz w:val="20"/>
                <w:szCs w:val="20"/>
                <w:highlight w:val="none"/>
              </w:rPr>
              <w:t>XXX</w:t>
            </w:r>
          </w:p>
        </w:tc>
        <w:tc>
          <w:tcPr>
            <w:tcW w:w="1041" w:type="dxa"/>
            <w:tcBorders>
              <w:top w:val="single" w:color="000000" w:sz="4" w:space="0"/>
              <w:left w:val="single" w:color="000000" w:sz="4" w:space="0"/>
              <w:bottom w:val="single" w:color="000000" w:sz="4" w:space="0"/>
              <w:right w:val="single" w:color="000000" w:sz="4" w:space="0"/>
            </w:tcBorders>
          </w:tcPr>
          <w:p>
            <w:pPr>
              <w:spacing w:before="0" w:after="0" w:line="240" w:lineRule="auto"/>
              <w:jc w:val="both"/>
              <w:rPr>
                <w:rFonts w:ascii="Times New Roman" w:hAnsi="Times New Roman"/>
                <w:highlight w:val="none"/>
              </w:rPr>
            </w:pPr>
            <w:r>
              <w:rPr>
                <w:rFonts w:ascii="Times New Roman" w:hAnsi="Times New Roman" w:eastAsia="Arial" w:cs="Times New Roman"/>
                <w:color w:val="000000"/>
                <w:sz w:val="20"/>
                <w:szCs w:val="20"/>
                <w:highlight w:val="none"/>
              </w:rPr>
              <w:t>R$ ??,??</w:t>
            </w:r>
          </w:p>
        </w:tc>
        <w:tc>
          <w:tcPr>
            <w:tcW w:w="1245" w:type="dxa"/>
            <w:tcBorders>
              <w:top w:val="single" w:color="000000" w:sz="4" w:space="0"/>
              <w:left w:val="single" w:color="000000" w:sz="4" w:space="0"/>
              <w:bottom w:val="single" w:color="000000" w:sz="4" w:space="0"/>
              <w:right w:val="single" w:color="000000" w:sz="4" w:space="0"/>
            </w:tcBorders>
          </w:tcPr>
          <w:p>
            <w:pPr>
              <w:spacing w:before="0" w:after="0" w:line="240" w:lineRule="auto"/>
              <w:jc w:val="both"/>
              <w:rPr>
                <w:rFonts w:ascii="Times New Roman" w:hAnsi="Times New Roman"/>
                <w:highlight w:val="none"/>
              </w:rPr>
            </w:pPr>
            <w:r>
              <w:rPr>
                <w:rFonts w:ascii="Times New Roman" w:hAnsi="Times New Roman" w:eastAsia="Arial" w:cs="Times New Roman"/>
                <w:color w:val="000000"/>
                <w:sz w:val="20"/>
                <w:szCs w:val="20"/>
                <w:highlight w:val="none"/>
              </w:rPr>
              <w:t>R$ ???.???,??</w:t>
            </w:r>
          </w:p>
        </w:tc>
      </w:tr>
    </w:tbl>
    <w:p>
      <w:pPr>
        <w:rPr>
          <w:rFonts w:ascii="Times New Roman" w:hAnsi="Times New Roman" w:cs="Times New Roman"/>
          <w:b/>
          <w:sz w:val="24"/>
          <w:szCs w:val="24"/>
          <w:highlight w:val="none"/>
        </w:rPr>
      </w:pPr>
    </w:p>
    <w:p>
      <w:pPr>
        <w:spacing w:before="0" w:after="0" w:line="240" w:lineRule="auto"/>
        <w:ind w:firstLine="2268"/>
        <w:jc w:val="both"/>
        <w:rPr>
          <w:rFonts w:ascii="Times New Roman" w:hAnsi="Times New Roman"/>
        </w:rPr>
      </w:pPr>
      <w:r>
        <w:rPr>
          <w:rFonts w:ascii="Times New Roman" w:hAnsi="Times New Roman" w:cs="Times New Roman"/>
          <w:sz w:val="24"/>
          <w:szCs w:val="24"/>
          <w:highlight w:val="none"/>
        </w:rPr>
        <w:t>E, para tanto, declaro que no preço estão incluídos todos os custos diretos ou indiretos com o fornecimento dos mate</w:t>
      </w:r>
      <w:r>
        <w:rPr>
          <w:rFonts w:ascii="Times New Roman" w:hAnsi="Times New Roman" w:cs="Times New Roman"/>
          <w:sz w:val="24"/>
          <w:szCs w:val="24"/>
        </w:rPr>
        <w:t>riais, inclusive tributos, equipamentos, pessoal, taxas, transportes, alimentação etc., e que a presente proposta tem validade de 60 (sessenta) dias.</w:t>
      </w:r>
    </w:p>
    <w:p>
      <w:pPr>
        <w:spacing w:before="0" w:after="0" w:line="240" w:lineRule="auto"/>
        <w:ind w:firstLine="2268"/>
        <w:jc w:val="both"/>
        <w:rPr>
          <w:rFonts w:ascii="Times New Roman" w:hAnsi="Times New Roman" w:cs="Times New Roman"/>
          <w:sz w:val="24"/>
          <w:szCs w:val="24"/>
        </w:rPr>
      </w:pPr>
    </w:p>
    <w:p>
      <w:pPr>
        <w:spacing w:before="0" w:after="0" w:line="240" w:lineRule="auto"/>
        <w:ind w:firstLine="2268"/>
        <w:jc w:val="both"/>
        <w:rPr>
          <w:rFonts w:ascii="Times New Roman" w:hAnsi="Times New Roman"/>
        </w:rPr>
      </w:pPr>
      <w:r>
        <w:rPr>
          <w:rFonts w:ascii="Times New Roman" w:hAnsi="Times New Roman" w:cs="Times New Roman"/>
          <w:sz w:val="24"/>
          <w:szCs w:val="24"/>
        </w:rPr>
        <w:t>Data e Local.</w:t>
      </w:r>
    </w:p>
    <w:p>
      <w:pPr>
        <w:jc w:val="center"/>
        <w:rPr>
          <w:rFonts w:ascii="Times New Roman" w:hAnsi="Times New Roman" w:cs="Times New Roman"/>
          <w:sz w:val="24"/>
          <w:szCs w:val="24"/>
        </w:rPr>
      </w:pPr>
    </w:p>
    <w:p>
      <w:pPr>
        <w:jc w:val="center"/>
        <w:rPr>
          <w:rFonts w:ascii="Times New Roman" w:hAnsi="Times New Roman" w:cs="Times New Roman"/>
          <w:sz w:val="24"/>
          <w:szCs w:val="24"/>
        </w:rPr>
      </w:pPr>
    </w:p>
    <w:p>
      <w:pPr>
        <w:spacing w:before="0" w:after="0" w:line="240" w:lineRule="auto"/>
        <w:jc w:val="center"/>
        <w:rPr>
          <w:rFonts w:ascii="Times New Roman" w:hAnsi="Times New Roman"/>
        </w:rPr>
      </w:pPr>
      <w:r>
        <w:rPr>
          <w:rFonts w:ascii="Times New Roman" w:hAnsi="Times New Roman" w:cs="Times New Roman"/>
          <w:sz w:val="24"/>
          <w:szCs w:val="24"/>
        </w:rPr>
        <w:t>_______________________________________</w:t>
      </w:r>
    </w:p>
    <w:p>
      <w:pPr>
        <w:pStyle w:val="3"/>
        <w:tabs>
          <w:tab w:val="left" w:pos="1134"/>
        </w:tabs>
        <w:spacing w:before="0" w:beforeAutospacing="0" w:after="0" w:afterAutospacing="0"/>
        <w:jc w:val="center"/>
        <w:textAlignment w:val="baseline"/>
        <w:rPr>
          <w:rFonts w:ascii="Times New Roman" w:hAnsi="Times New Roman"/>
        </w:rPr>
      </w:pPr>
      <w:r>
        <w:t>Nome completo e Assinatura do proponente</w:t>
      </w:r>
    </w:p>
    <w:p>
      <w:pPr>
        <w:rPr>
          <w:rFonts w:ascii="Times New Roman" w:hAnsi="Times New Roman"/>
          <w:lang w:eastAsia="pt-BR"/>
        </w:rPr>
      </w:pPr>
      <w:r>
        <w:br w:type="page"/>
      </w:r>
    </w:p>
    <w:p>
      <w:pPr>
        <w:pStyle w:val="2"/>
        <w:numPr>
          <w:ilvl w:val="0"/>
          <w:numId w:val="0"/>
        </w:numPr>
        <w:spacing w:before="0" w:after="120"/>
        <w:ind w:left="0" w:firstLine="0"/>
        <w:jc w:val="center"/>
        <w:rPr>
          <w:rFonts w:ascii="Times New Roman" w:hAnsi="Times New Roman"/>
        </w:rPr>
      </w:pPr>
      <w:bookmarkStart w:id="63" w:name="_ANEXO_V_-"/>
      <w:bookmarkEnd w:id="63"/>
      <w:bookmarkStart w:id="64" w:name="_ANEXO_IV_-"/>
      <w:bookmarkEnd w:id="64"/>
      <w:bookmarkStart w:id="65" w:name="_ANEXO_VII_-"/>
      <w:bookmarkEnd w:id="65"/>
      <w:bookmarkStart w:id="66" w:name="_Toc149517469"/>
      <w:r>
        <w:t>ANEXO IV – MINUTA DA ATA DE REGISTRO DE PREÇOS</w:t>
      </w:r>
      <w:bookmarkEnd w:id="66"/>
    </w:p>
    <w:p>
      <w:pPr>
        <w:tabs>
          <w:tab w:val="left" w:pos="1134"/>
          <w:tab w:val="left" w:pos="3001"/>
        </w:tabs>
        <w:spacing w:before="360" w:after="120" w:line="240" w:lineRule="auto"/>
        <w:ind w:firstLine="567"/>
        <w:jc w:val="both"/>
      </w:pPr>
      <w:r>
        <w:rPr>
          <w:rFonts w:ascii="Times New Roman" w:hAnsi="Times New Roman" w:cs="Times New Roman"/>
          <w:b/>
          <w:bCs/>
          <w:sz w:val="22"/>
          <w:szCs w:val="22"/>
          <w:lang w:eastAsia="pt-BR"/>
        </w:rPr>
        <w:t>O MUNICÍPIO DE PRIMAVERA DO LESTE - MT</w:t>
      </w:r>
      <w:r>
        <w:rPr>
          <w:rFonts w:ascii="Times New Roman" w:hAnsi="Times New Roman" w:cs="Times New Roman"/>
          <w:b w:val="0"/>
          <w:bCs w:val="0"/>
          <w:sz w:val="22"/>
          <w:szCs w:val="22"/>
          <w:lang w:eastAsia="pt-BR"/>
        </w:rPr>
        <w:t>, por intermédio da</w:t>
      </w:r>
      <w:r>
        <w:rPr>
          <w:rFonts w:ascii="Times New Roman" w:hAnsi="Times New Roman" w:cs="Times New Roman"/>
          <w:b/>
          <w:bCs/>
          <w:sz w:val="22"/>
          <w:szCs w:val="22"/>
          <w:lang w:eastAsia="pt-BR"/>
        </w:rPr>
        <w:t xml:space="preserve"> CÂMARA MUNICIPAL</w:t>
      </w:r>
      <w:r>
        <w:rPr>
          <w:rFonts w:ascii="Times New Roman" w:hAnsi="Times New Roman" w:cs="Arial"/>
          <w:sz w:val="22"/>
          <w:szCs w:val="22"/>
          <w:lang w:eastAsia="pt-BR"/>
        </w:rPr>
        <w:t xml:space="preserve">, inscrita no CGC/CNPJ MF com o n. 24.672.727/0001-83, com sede na Avenida Primavera nº. 300 CEP: 78.850-000 Primavera do Leste - MT, neste ato representado pelo Vereador Presidente </w:t>
      </w:r>
      <w:r>
        <w:rPr>
          <w:rFonts w:ascii="Times New Roman" w:hAnsi="Times New Roman" w:eastAsia="Calibri" w:cs="Arial"/>
          <w:sz w:val="22"/>
          <w:szCs w:val="22"/>
          <w:lang w:eastAsia="en-US"/>
        </w:rPr>
        <w:t>Valdecir Alventino da Silva,</w:t>
      </w:r>
      <w:r>
        <w:rPr>
          <w:rFonts w:ascii="Times New Roman" w:hAnsi="Times New Roman" w:cs="Times New Roman"/>
          <w:sz w:val="22"/>
          <w:szCs w:val="22"/>
          <w:lang w:eastAsia="pt-BR"/>
        </w:rPr>
        <w:t xml:space="preserve"> doravante denominada ÓRGÃO GERENCIADOR, institui a presente ARP - ATA DE REGISTRO DE PREÇOS, decorrente da licitação na modalidade de Pregão, em sua forma eletrônica, sob o número </w:t>
      </w:r>
      <w:r>
        <w:rPr>
          <w:rFonts w:ascii="Times New Roman" w:hAnsi="Times New Roman" w:cs="Times New Roman"/>
          <w:sz w:val="22"/>
          <w:szCs w:val="22"/>
          <w:shd w:val="clear" w:color="auto" w:fill="auto"/>
          <w:lang w:eastAsia="pt-BR"/>
        </w:rPr>
        <w:t>XXXX</w:t>
      </w:r>
      <w:r>
        <w:rPr>
          <w:rFonts w:ascii="Times New Roman" w:hAnsi="Times New Roman" w:cs="Times New Roman"/>
          <w:sz w:val="22"/>
          <w:szCs w:val="22"/>
          <w:shd w:val="clear" w:fill="auto"/>
          <w:lang w:eastAsia="pt-BR"/>
        </w:rPr>
        <w:t xml:space="preserve">/2024, </w:t>
      </w:r>
      <w:r>
        <w:rPr>
          <w:rFonts w:ascii="Times New Roman" w:hAnsi="Times New Roman" w:cs="Times New Roman"/>
          <w:sz w:val="22"/>
          <w:szCs w:val="22"/>
          <w:lang w:eastAsia="pt-BR"/>
        </w:rPr>
        <w:t xml:space="preserve">com critério de julgamento MENOR PREÇO POR LOTE, cujo objeto é </w:t>
      </w:r>
      <w:r>
        <w:rPr>
          <w:rFonts w:hint="default" w:ascii="Times New Roman" w:hAnsi="Times New Roman" w:cs="Times New Roman"/>
          <w:sz w:val="22"/>
          <w:szCs w:val="22"/>
          <w:lang w:val="en-US" w:eastAsia="pt-BR"/>
        </w:rPr>
        <w:t>o</w:t>
      </w:r>
      <w:r>
        <w:rPr>
          <w:rFonts w:ascii="Times New Roman" w:hAnsi="Times New Roman" w:cs="Times New Roman"/>
          <w:sz w:val="22"/>
          <w:szCs w:val="22"/>
          <w:lang w:eastAsia="pt-BR"/>
        </w:rPr>
        <w:t xml:space="preserve"> </w:t>
      </w:r>
      <w:r>
        <w:rPr>
          <w:rFonts w:hint="default" w:ascii="Times New Roman" w:hAnsi="Times New Roman"/>
          <w:b/>
          <w:bCs/>
          <w:color w:val="000000"/>
          <w:kern w:val="0"/>
          <w:sz w:val="22"/>
          <w:szCs w:val="22"/>
          <w:shd w:val="clear" w:fill="auto"/>
          <w:lang w:val="pt-BR" w:eastAsia="pt-BR"/>
        </w:rPr>
        <w:t>Registro de Preço para futura e eventual contratação de empresa especializada em fornecimento de sistema vídeo com instalação a serem disponibilizados na Câmara Municipal de Primavera do Leste-MT.</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processada nos termos do Processo Administrativo nº 007/2024</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o qual se constitui em documento vinculativo e obrigacional às partes, à luz da permissão inserta no </w:t>
      </w:r>
      <w:r>
        <w:fldChar w:fldCharType="begin"/>
      </w:r>
      <w:r>
        <w:rPr>
          <w:rStyle w:val="54"/>
          <w:rFonts w:ascii="Times New Roman" w:hAnsi="Times New Roman"/>
          <w:sz w:val="22"/>
          <w:szCs w:val="22"/>
          <w:lang w:eastAsia="pt-BR"/>
        </w:rPr>
        <w:instrText xml:space="preserve"> HYPERLINK "https://www.planalto.gov.br/ccivil_03/_ato2019-2022/2021/lei/l14133.htm" \l "art40"</w:instrText>
      </w:r>
      <w:r>
        <w:rPr>
          <w:rStyle w:val="54"/>
          <w:rFonts w:ascii="Times New Roman" w:hAnsi="Times New Roman"/>
          <w:sz w:val="22"/>
          <w:szCs w:val="22"/>
          <w:lang w:eastAsia="pt-BR"/>
        </w:rPr>
        <w:fldChar w:fldCharType="separate"/>
      </w:r>
      <w:r>
        <w:rPr>
          <w:rStyle w:val="54"/>
          <w:rFonts w:ascii="Times New Roman" w:hAnsi="Times New Roman"/>
          <w:sz w:val="22"/>
          <w:szCs w:val="22"/>
          <w:lang w:eastAsia="pt-BR"/>
        </w:rPr>
        <w:t>art. 40, II</w:t>
      </w:r>
      <w:r>
        <w:rPr>
          <w:rStyle w:val="54"/>
          <w:rFonts w:ascii="Times New Roman" w:hAnsi="Times New Roman"/>
          <w:sz w:val="22"/>
          <w:szCs w:val="22"/>
          <w:lang w:eastAsia="pt-BR"/>
        </w:rPr>
        <w:fldChar w:fldCharType="end"/>
      </w:r>
      <w:r>
        <w:rPr>
          <w:rFonts w:ascii="Times New Roman" w:hAnsi="Times New Roman" w:cs="Times New Roman"/>
          <w:sz w:val="22"/>
          <w:szCs w:val="22"/>
          <w:lang w:eastAsia="pt-BR"/>
        </w:rPr>
        <w:t xml:space="preserve">, </w:t>
      </w:r>
      <w:r>
        <w:fldChar w:fldCharType="begin"/>
      </w:r>
      <w:r>
        <w:rPr>
          <w:rStyle w:val="54"/>
          <w:rFonts w:ascii="Times New Roman" w:hAnsi="Times New Roman"/>
          <w:sz w:val="22"/>
          <w:szCs w:val="22"/>
          <w:lang w:eastAsia="pt-BR"/>
        </w:rPr>
        <w:instrText xml:space="preserve"> HYPERLINK "https://www.planalto.gov.br/ccivil_03/_ato2019-2022/2021/lei/l14133.htm" \l "art78"</w:instrText>
      </w:r>
      <w:r>
        <w:rPr>
          <w:rStyle w:val="54"/>
          <w:rFonts w:ascii="Times New Roman" w:hAnsi="Times New Roman"/>
          <w:sz w:val="22"/>
          <w:szCs w:val="22"/>
          <w:lang w:eastAsia="pt-BR"/>
        </w:rPr>
        <w:fldChar w:fldCharType="separate"/>
      </w:r>
      <w:r>
        <w:rPr>
          <w:rStyle w:val="54"/>
          <w:rFonts w:ascii="Times New Roman" w:hAnsi="Times New Roman"/>
          <w:sz w:val="22"/>
          <w:szCs w:val="22"/>
          <w:lang w:eastAsia="pt-BR"/>
        </w:rPr>
        <w:t>78, IV</w:t>
      </w:r>
      <w:r>
        <w:rPr>
          <w:rStyle w:val="54"/>
          <w:rFonts w:ascii="Times New Roman" w:hAnsi="Times New Roman"/>
          <w:sz w:val="22"/>
          <w:szCs w:val="22"/>
          <w:lang w:eastAsia="pt-BR"/>
        </w:rPr>
        <w:fldChar w:fldCharType="end"/>
      </w:r>
      <w:r>
        <w:rPr>
          <w:rFonts w:ascii="Times New Roman" w:hAnsi="Times New Roman" w:cs="Times New Roman"/>
          <w:sz w:val="22"/>
          <w:szCs w:val="22"/>
          <w:lang w:eastAsia="pt-BR"/>
        </w:rPr>
        <w:t xml:space="preserve">, e </w:t>
      </w:r>
      <w:r>
        <w:fldChar w:fldCharType="begin"/>
      </w:r>
      <w:r>
        <w:rPr>
          <w:rStyle w:val="54"/>
          <w:rFonts w:ascii="Times New Roman" w:hAnsi="Times New Roman"/>
          <w:sz w:val="22"/>
          <w:szCs w:val="22"/>
          <w:lang w:eastAsia="pt-BR"/>
        </w:rPr>
        <w:instrText xml:space="preserve"> HYPERLINK "https://www.planalto.gov.br/ccivil_03/_ato2019-2022/2021/lei/l14133.htm" \l "art82"</w:instrText>
      </w:r>
      <w:r>
        <w:rPr>
          <w:rStyle w:val="54"/>
          <w:rFonts w:ascii="Times New Roman" w:hAnsi="Times New Roman"/>
          <w:sz w:val="22"/>
          <w:szCs w:val="22"/>
          <w:lang w:eastAsia="pt-BR"/>
        </w:rPr>
        <w:fldChar w:fldCharType="separate"/>
      </w:r>
      <w:r>
        <w:rPr>
          <w:rStyle w:val="54"/>
          <w:rFonts w:ascii="Times New Roman" w:hAnsi="Times New Roman"/>
          <w:sz w:val="22"/>
          <w:szCs w:val="22"/>
          <w:lang w:eastAsia="pt-BR"/>
        </w:rPr>
        <w:t>82</w:t>
      </w:r>
      <w:r>
        <w:rPr>
          <w:rStyle w:val="54"/>
          <w:rFonts w:ascii="Times New Roman" w:hAnsi="Times New Roman"/>
          <w:sz w:val="22"/>
          <w:szCs w:val="22"/>
          <w:lang w:eastAsia="pt-BR"/>
        </w:rPr>
        <w:fldChar w:fldCharType="end"/>
      </w:r>
      <w:r>
        <w:rPr>
          <w:rFonts w:ascii="Times New Roman" w:hAnsi="Times New Roman" w:cs="Times New Roman"/>
          <w:sz w:val="22"/>
          <w:szCs w:val="22"/>
          <w:lang w:eastAsia="pt-BR"/>
        </w:rPr>
        <w:t xml:space="preserve"> a </w:t>
      </w:r>
      <w:r>
        <w:fldChar w:fldCharType="begin"/>
      </w:r>
      <w:r>
        <w:rPr>
          <w:rStyle w:val="54"/>
          <w:rFonts w:ascii="Times New Roman" w:hAnsi="Times New Roman"/>
          <w:sz w:val="22"/>
          <w:szCs w:val="22"/>
          <w:lang w:eastAsia="pt-BR"/>
        </w:rPr>
        <w:instrText xml:space="preserve"> HYPERLINK "https://www.planalto.gov.br/ccivil_03/_ato2019-2022/2021/lei/l14133.htm" \l "art86"</w:instrText>
      </w:r>
      <w:r>
        <w:rPr>
          <w:rStyle w:val="54"/>
          <w:rFonts w:ascii="Times New Roman" w:hAnsi="Times New Roman"/>
          <w:sz w:val="22"/>
          <w:szCs w:val="22"/>
          <w:lang w:eastAsia="pt-BR"/>
        </w:rPr>
        <w:fldChar w:fldCharType="separate"/>
      </w:r>
      <w:r>
        <w:rPr>
          <w:rStyle w:val="54"/>
          <w:rFonts w:ascii="Times New Roman" w:hAnsi="Times New Roman"/>
          <w:sz w:val="22"/>
          <w:szCs w:val="22"/>
          <w:lang w:eastAsia="pt-BR"/>
        </w:rPr>
        <w:t>86 da Lei Federal nº 14.133, de 2021</w:t>
      </w:r>
      <w:r>
        <w:rPr>
          <w:rStyle w:val="54"/>
          <w:rFonts w:ascii="Times New Roman" w:hAnsi="Times New Roman"/>
          <w:sz w:val="22"/>
          <w:szCs w:val="22"/>
          <w:lang w:eastAsia="pt-BR"/>
        </w:rPr>
        <w:fldChar w:fldCharType="end"/>
      </w:r>
      <w:r>
        <w:rPr>
          <w:rFonts w:ascii="Times New Roman" w:hAnsi="Times New Roman" w:cs="Times New Roman"/>
          <w:sz w:val="22"/>
          <w:szCs w:val="22"/>
          <w:lang w:eastAsia="pt-BR"/>
        </w:rPr>
        <w:t xml:space="preserve">, regulamentado </w:t>
      </w:r>
      <w:r>
        <w:rPr>
          <w:rFonts w:ascii="Times New Roman" w:hAnsi="Times New Roman" w:cs="Times New Roman"/>
          <w:color w:val="000000"/>
          <w:sz w:val="22"/>
          <w:szCs w:val="22"/>
          <w:lang w:eastAsia="pt-BR"/>
        </w:rPr>
        <w:t>Decreto Estadual n</w:t>
      </w:r>
      <w:r>
        <w:rPr>
          <w:rFonts w:ascii="Times New Roman" w:hAnsi="Times New Roman" w:cs="Times New Roman"/>
          <w:b/>
          <w:bCs/>
          <w:color w:val="000000"/>
          <w:sz w:val="22"/>
          <w:szCs w:val="22"/>
          <w:lang w:eastAsia="pt-BR"/>
        </w:rPr>
        <w:t xml:space="preserve">º </w:t>
      </w:r>
      <w:r>
        <w:rPr>
          <w:rFonts w:ascii="Times New Roman" w:hAnsi="Times New Roman" w:cs="Times New Roman"/>
          <w:color w:val="000000"/>
          <w:sz w:val="22"/>
          <w:szCs w:val="22"/>
          <w:lang w:eastAsia="pt-BR"/>
        </w:rPr>
        <w:t>7.217/2006, e em conformidade com as disposições a seguir:</w:t>
      </w:r>
    </w:p>
    <w:p>
      <w:pPr>
        <w:pStyle w:val="60"/>
        <w:numPr>
          <w:ilvl w:val="0"/>
          <w:numId w:val="16"/>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OBJETO</w:t>
      </w:r>
    </w:p>
    <w:p>
      <w:pPr>
        <w:pStyle w:val="60"/>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A presente Ata tem por objeto o </w:t>
      </w:r>
      <w:r>
        <w:rPr>
          <w:rFonts w:hint="default" w:ascii="Times New Roman" w:hAnsi="Times New Roman"/>
          <w:b/>
          <w:bCs/>
          <w:sz w:val="22"/>
          <w:szCs w:val="22"/>
          <w:lang w:eastAsia="pt-BR"/>
        </w:rPr>
        <w:t>Registro de Preço para futura e eventual contratação de empresa especializada em fornecimento de sistema vídeo com instalação a serem disponibilizados na Câmara Municipal de Primavera do Leste-MT.</w:t>
      </w:r>
    </w:p>
    <w:p>
      <w:pPr>
        <w:pStyle w:val="60"/>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Descrição do objeto:</w:t>
      </w:r>
    </w:p>
    <w:tbl>
      <w:tblPr>
        <w:tblStyle w:val="9"/>
        <w:tblW w:w="8921" w:type="dxa"/>
        <w:tblInd w:w="0" w:type="dxa"/>
        <w:tblLayout w:type="fixed"/>
        <w:tblCellMar>
          <w:top w:w="0" w:type="dxa"/>
          <w:left w:w="28" w:type="dxa"/>
          <w:bottom w:w="0" w:type="dxa"/>
          <w:right w:w="28" w:type="dxa"/>
        </w:tblCellMar>
      </w:tblPr>
      <w:tblGrid>
        <w:gridCol w:w="716"/>
        <w:gridCol w:w="1706"/>
        <w:gridCol w:w="1091"/>
        <w:gridCol w:w="1321"/>
        <w:gridCol w:w="1399"/>
        <w:gridCol w:w="1133"/>
        <w:gridCol w:w="1554"/>
      </w:tblGrid>
      <w:tr>
        <w:tblPrEx>
          <w:tblCellMar>
            <w:top w:w="0" w:type="dxa"/>
            <w:left w:w="28" w:type="dxa"/>
            <w:bottom w:w="0" w:type="dxa"/>
            <w:right w:w="28" w:type="dxa"/>
          </w:tblCellMar>
        </w:tblPrEx>
        <w:trPr>
          <w:tblHeader/>
        </w:trPr>
        <w:tc>
          <w:tcPr>
            <w:tcW w:w="716" w:type="dxa"/>
            <w:tcBorders>
              <w:top w:val="single" w:color="000000" w:sz="4" w:space="0"/>
              <w:left w:val="single" w:color="000000" w:sz="4"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Item</w:t>
            </w:r>
          </w:p>
        </w:tc>
        <w:tc>
          <w:tcPr>
            <w:tcW w:w="1706"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Especificação</w:t>
            </w:r>
          </w:p>
        </w:tc>
        <w:tc>
          <w:tcPr>
            <w:tcW w:w="1091"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Catálogo</w:t>
            </w:r>
          </w:p>
        </w:tc>
        <w:tc>
          <w:tcPr>
            <w:tcW w:w="1321"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Unidade de Medida</w:t>
            </w:r>
          </w:p>
        </w:tc>
        <w:tc>
          <w:tcPr>
            <w:tcW w:w="1399"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Quantidade Estimada</w:t>
            </w:r>
          </w:p>
        </w:tc>
        <w:tc>
          <w:tcPr>
            <w:tcW w:w="1133"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Valor Unitário</w:t>
            </w:r>
          </w:p>
        </w:tc>
        <w:tc>
          <w:tcPr>
            <w:tcW w:w="1554" w:type="dxa"/>
            <w:tcBorders>
              <w:top w:val="single" w:color="000000" w:sz="4" w:space="0"/>
              <w:left w:val="single" w:color="000000" w:sz="6" w:space="0"/>
              <w:bottom w:val="single" w:color="000000" w:sz="6" w:space="0"/>
              <w:right w:val="single" w:color="000000" w:sz="4"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Valor Total</w:t>
            </w:r>
          </w:p>
        </w:tc>
      </w:tr>
      <w:tr>
        <w:tblPrEx>
          <w:tblCellMar>
            <w:top w:w="0" w:type="dxa"/>
            <w:left w:w="28" w:type="dxa"/>
            <w:bottom w:w="0" w:type="dxa"/>
            <w:right w:w="28" w:type="dxa"/>
          </w:tblCellMar>
        </w:tblPrEx>
        <w:tc>
          <w:tcPr>
            <w:tcW w:w="716" w:type="dxa"/>
            <w:tcBorders>
              <w:top w:val="single" w:color="000000" w:sz="6" w:space="0"/>
              <w:left w:val="single" w:color="000000" w:sz="4" w:space="0"/>
              <w:bottom w:val="single" w:color="000000" w:sz="4" w:space="0"/>
              <w:right w:val="single" w:color="000000" w:sz="6"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Único</w:t>
            </w:r>
          </w:p>
        </w:tc>
        <w:tc>
          <w:tcPr>
            <w:tcW w:w="1706" w:type="dxa"/>
            <w:tcBorders>
              <w:top w:val="single" w:color="000000" w:sz="6" w:space="0"/>
              <w:left w:val="single" w:color="000000" w:sz="6" w:space="0"/>
              <w:bottom w:val="single" w:color="000000" w:sz="4" w:space="0"/>
              <w:right w:val="single" w:color="000000" w:sz="6"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XXX</w:t>
            </w:r>
          </w:p>
        </w:tc>
        <w:tc>
          <w:tcPr>
            <w:tcW w:w="1091" w:type="dxa"/>
            <w:tcBorders>
              <w:top w:val="single" w:color="000000" w:sz="6" w:space="0"/>
              <w:left w:val="single" w:color="000000" w:sz="6" w:space="0"/>
              <w:bottom w:val="single" w:color="000000" w:sz="4" w:space="0"/>
              <w:right w:val="single" w:color="000000" w:sz="6"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321" w:type="dxa"/>
            <w:tcBorders>
              <w:top w:val="single" w:color="000000" w:sz="6" w:space="0"/>
              <w:left w:val="single" w:color="000000" w:sz="6" w:space="0"/>
              <w:bottom w:val="single" w:color="000000" w:sz="4" w:space="0"/>
              <w:right w:val="single" w:color="000000" w:sz="6"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399" w:type="dxa"/>
            <w:tcBorders>
              <w:top w:val="single" w:color="000000" w:sz="6" w:space="0"/>
              <w:left w:val="single" w:color="000000" w:sz="6" w:space="0"/>
              <w:bottom w:val="single" w:color="000000" w:sz="4" w:space="0"/>
              <w:right w:val="single" w:color="000000" w:sz="6"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133" w:type="dxa"/>
            <w:tcBorders>
              <w:top w:val="single" w:color="000000" w:sz="6" w:space="0"/>
              <w:left w:val="single" w:color="000000" w:sz="6" w:space="0"/>
              <w:bottom w:val="single" w:color="000000" w:sz="4" w:space="0"/>
              <w:right w:val="single" w:color="000000" w:sz="6"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w:t>
            </w:r>
            <w:r>
              <w:rPr>
                <w:rFonts w:ascii="Times New Roman" w:hAnsi="Times New Roman" w:eastAsia="Arial" w:cs="Times New Roman"/>
                <w:color w:val="000000"/>
                <w:sz w:val="22"/>
                <w:szCs w:val="22"/>
                <w:highlight w:val="none"/>
              </w:rPr>
              <w:t>R$ xxxxx</w:t>
            </w:r>
          </w:p>
        </w:tc>
        <w:tc>
          <w:tcPr>
            <w:tcW w:w="1554" w:type="dxa"/>
            <w:tcBorders>
              <w:top w:val="single" w:color="000000" w:sz="6" w:space="0"/>
              <w:left w:val="single" w:color="000000" w:sz="6" w:space="0"/>
              <w:bottom w:val="single" w:color="000000" w:sz="4" w:space="0"/>
              <w:right w:val="single" w:color="000000" w:sz="4"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w:t>
            </w:r>
            <w:r>
              <w:rPr>
                <w:rFonts w:ascii="Times New Roman" w:hAnsi="Times New Roman" w:eastAsia="Arial" w:cs="Times New Roman"/>
                <w:color w:val="000000"/>
                <w:sz w:val="22"/>
                <w:szCs w:val="22"/>
                <w:highlight w:val="none"/>
              </w:rPr>
              <w:t>R$xxxxxxx</w:t>
            </w:r>
          </w:p>
        </w:tc>
      </w:tr>
    </w:tbl>
    <w:p>
      <w:pPr>
        <w:pStyle w:val="60"/>
        <w:numPr>
          <w:numId w:val="0"/>
        </w:numPr>
        <w:tabs>
          <w:tab w:val="left" w:pos="1134"/>
          <w:tab w:val="left" w:pos="3001"/>
        </w:tabs>
        <w:spacing w:before="120" w:after="120" w:line="240" w:lineRule="auto"/>
        <w:ind w:left="147" w:leftChars="0"/>
        <w:contextualSpacing w:val="0"/>
        <w:jc w:val="both"/>
        <w:rPr>
          <w:rFonts w:ascii="Times New Roman" w:hAnsi="Times New Roman"/>
          <w:sz w:val="22"/>
          <w:szCs w:val="22"/>
        </w:rPr>
      </w:pPr>
    </w:p>
    <w:p>
      <w:pPr>
        <w:pStyle w:val="60"/>
        <w:numPr>
          <w:ilvl w:val="0"/>
          <w:numId w:val="16"/>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 xml:space="preserve">ÓRGÃOS GERENCIADOR E PARTICIPANTES </w:t>
      </w:r>
    </w:p>
    <w:p>
      <w:pPr>
        <w:pStyle w:val="60"/>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O ÓRGÃO GERENCIADOR da presente Ata de Registro de Preço - ARP será a Câmara Municipal de Primavera do Leste - MT, já identificado no preâmbulo. </w:t>
      </w:r>
    </w:p>
    <w:p>
      <w:pPr>
        <w:pStyle w:val="60"/>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Além do gerenciador, são órgãos e entidades públicas participantes do presente registro de preços:</w:t>
      </w:r>
    </w:p>
    <w:tbl>
      <w:tblPr>
        <w:tblStyle w:val="9"/>
        <w:tblW w:w="6847" w:type="dxa"/>
        <w:jc w:val="center"/>
        <w:tblLayout w:type="fixed"/>
        <w:tblCellMar>
          <w:top w:w="0" w:type="dxa"/>
          <w:left w:w="108" w:type="dxa"/>
          <w:bottom w:w="0" w:type="dxa"/>
          <w:right w:w="108" w:type="dxa"/>
        </w:tblCellMar>
      </w:tblPr>
      <w:tblGrid>
        <w:gridCol w:w="2223"/>
        <w:gridCol w:w="2389"/>
        <w:gridCol w:w="2235"/>
      </w:tblGrid>
      <w:tr>
        <w:tblPrEx>
          <w:tblCellMar>
            <w:top w:w="0" w:type="dxa"/>
            <w:left w:w="108" w:type="dxa"/>
            <w:bottom w:w="0" w:type="dxa"/>
            <w:right w:w="108" w:type="dxa"/>
          </w:tblCellMar>
        </w:tblPrEx>
        <w:trPr>
          <w:jc w:val="center"/>
        </w:trPr>
        <w:tc>
          <w:tcPr>
            <w:tcW w:w="2223"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tabs>
                <w:tab w:val="left" w:pos="3001"/>
              </w:tabs>
              <w:spacing w:before="0" w:after="0" w:line="240" w:lineRule="auto"/>
              <w:jc w:val="center"/>
              <w:rPr>
                <w:rFonts w:ascii="Times New Roman" w:hAnsi="Times New Roman"/>
                <w:sz w:val="22"/>
                <w:szCs w:val="22"/>
              </w:rPr>
            </w:pPr>
            <w:r>
              <w:rPr>
                <w:rFonts w:ascii="Times New Roman" w:hAnsi="Times New Roman" w:cs="Times New Roman"/>
                <w:b/>
                <w:bCs/>
                <w:sz w:val="22"/>
                <w:szCs w:val="22"/>
                <w:lang w:eastAsia="pt-BR"/>
              </w:rPr>
              <w:t>Item nº</w:t>
            </w:r>
          </w:p>
        </w:tc>
        <w:tc>
          <w:tcPr>
            <w:tcW w:w="2389"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tabs>
                <w:tab w:val="left" w:pos="3001"/>
              </w:tabs>
              <w:spacing w:before="0" w:after="0" w:line="240" w:lineRule="auto"/>
              <w:jc w:val="center"/>
              <w:rPr>
                <w:rFonts w:ascii="Times New Roman" w:hAnsi="Times New Roman"/>
                <w:sz w:val="22"/>
                <w:szCs w:val="22"/>
              </w:rPr>
            </w:pPr>
            <w:r>
              <w:rPr>
                <w:rFonts w:ascii="Times New Roman" w:hAnsi="Times New Roman" w:cs="Times New Roman"/>
                <w:b/>
                <w:bCs/>
                <w:sz w:val="22"/>
                <w:szCs w:val="22"/>
                <w:lang w:eastAsia="pt-BR"/>
              </w:rPr>
              <w:t>Órgão(s) Participante(s)</w:t>
            </w:r>
          </w:p>
        </w:tc>
        <w:tc>
          <w:tcPr>
            <w:tcW w:w="223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tabs>
                <w:tab w:val="left" w:pos="3001"/>
              </w:tabs>
              <w:spacing w:before="0" w:after="0" w:line="240" w:lineRule="auto"/>
              <w:jc w:val="center"/>
              <w:rPr>
                <w:rFonts w:ascii="Times New Roman" w:hAnsi="Times New Roman"/>
                <w:sz w:val="22"/>
                <w:szCs w:val="22"/>
              </w:rPr>
            </w:pPr>
            <w:r>
              <w:rPr>
                <w:rFonts w:ascii="Times New Roman" w:hAnsi="Times New Roman" w:cs="Times New Roman"/>
                <w:b/>
                <w:bCs/>
                <w:sz w:val="22"/>
                <w:szCs w:val="22"/>
                <w:lang w:eastAsia="pt-BR"/>
              </w:rPr>
              <w:t>Quantidade</w:t>
            </w:r>
          </w:p>
        </w:tc>
      </w:tr>
      <w:tr>
        <w:tblPrEx>
          <w:tblCellMar>
            <w:top w:w="0" w:type="dxa"/>
            <w:left w:w="108" w:type="dxa"/>
            <w:bottom w:w="0" w:type="dxa"/>
            <w:right w:w="108" w:type="dxa"/>
          </w:tblCellMar>
        </w:tblPrEx>
        <w:trPr>
          <w:jc w:val="center"/>
        </w:trPr>
        <w:tc>
          <w:tcPr>
            <w:tcW w:w="2223" w:type="dxa"/>
            <w:tcBorders>
              <w:top w:val="single" w:color="000000" w:sz="4" w:space="0"/>
              <w:left w:val="single" w:color="000000" w:sz="4" w:space="0"/>
              <w:bottom w:val="single" w:color="000000" w:sz="4" w:space="0"/>
              <w:right w:val="single" w:color="000000" w:sz="4" w:space="0"/>
            </w:tcBorders>
          </w:tcPr>
          <w:p>
            <w:pPr>
              <w:tabs>
                <w:tab w:val="left" w:pos="3001"/>
              </w:tabs>
              <w:spacing w:before="0" w:after="0" w:line="240" w:lineRule="auto"/>
              <w:rPr>
                <w:rFonts w:ascii="Times New Roman" w:hAnsi="Times New Roman"/>
                <w:sz w:val="22"/>
                <w:szCs w:val="22"/>
              </w:rPr>
            </w:pPr>
            <w:r>
              <w:rPr>
                <w:rFonts w:ascii="Times New Roman" w:hAnsi="Times New Roman" w:cs="Times New Roman"/>
                <w:sz w:val="22"/>
                <w:szCs w:val="22"/>
                <w:lang w:eastAsia="pt-BR"/>
              </w:rPr>
              <w:t>Único</w:t>
            </w:r>
          </w:p>
        </w:tc>
        <w:tc>
          <w:tcPr>
            <w:tcW w:w="2389" w:type="dxa"/>
            <w:tcBorders>
              <w:top w:val="single" w:color="000000" w:sz="4" w:space="0"/>
              <w:left w:val="single" w:color="000000" w:sz="4" w:space="0"/>
              <w:bottom w:val="single" w:color="000000" w:sz="4" w:space="0"/>
              <w:right w:val="single" w:color="000000" w:sz="4" w:space="0"/>
            </w:tcBorders>
          </w:tcPr>
          <w:p>
            <w:pPr>
              <w:tabs>
                <w:tab w:val="left" w:pos="3001"/>
              </w:tabs>
              <w:spacing w:before="0" w:after="0" w:line="240" w:lineRule="auto"/>
              <w:rPr>
                <w:rFonts w:ascii="Times New Roman" w:hAnsi="Times New Roman" w:cs="Times New Roman"/>
                <w:sz w:val="22"/>
                <w:szCs w:val="22"/>
                <w:lang w:eastAsia="pt-BR"/>
              </w:rPr>
            </w:pPr>
          </w:p>
        </w:tc>
        <w:tc>
          <w:tcPr>
            <w:tcW w:w="2235" w:type="dxa"/>
            <w:tcBorders>
              <w:top w:val="single" w:color="000000" w:sz="4" w:space="0"/>
              <w:left w:val="single" w:color="000000" w:sz="4" w:space="0"/>
              <w:bottom w:val="single" w:color="000000" w:sz="4" w:space="0"/>
              <w:right w:val="single" w:color="000000" w:sz="4" w:space="0"/>
            </w:tcBorders>
          </w:tcPr>
          <w:p>
            <w:pPr>
              <w:tabs>
                <w:tab w:val="left" w:pos="3001"/>
              </w:tabs>
              <w:spacing w:before="0" w:after="0" w:line="240" w:lineRule="auto"/>
              <w:rPr>
                <w:rFonts w:ascii="Times New Roman" w:hAnsi="Times New Roman" w:cs="Times New Roman"/>
                <w:sz w:val="22"/>
                <w:szCs w:val="22"/>
                <w:lang w:eastAsia="pt-BR"/>
              </w:rPr>
            </w:pPr>
          </w:p>
        </w:tc>
      </w:tr>
      <w:tr>
        <w:tblPrEx>
          <w:tblCellMar>
            <w:top w:w="0" w:type="dxa"/>
            <w:left w:w="108" w:type="dxa"/>
            <w:bottom w:w="0" w:type="dxa"/>
            <w:right w:w="108" w:type="dxa"/>
          </w:tblCellMar>
        </w:tblPrEx>
        <w:trPr>
          <w:jc w:val="center"/>
        </w:trPr>
        <w:tc>
          <w:tcPr>
            <w:tcW w:w="2223" w:type="dxa"/>
            <w:tcBorders>
              <w:top w:val="single" w:color="000000" w:sz="4" w:space="0"/>
              <w:left w:val="single" w:color="000000" w:sz="4" w:space="0"/>
              <w:bottom w:val="single" w:color="000000" w:sz="4" w:space="0"/>
              <w:right w:val="single" w:color="000000" w:sz="4" w:space="0"/>
            </w:tcBorders>
          </w:tcPr>
          <w:p>
            <w:pPr>
              <w:tabs>
                <w:tab w:val="left" w:pos="3001"/>
              </w:tabs>
              <w:spacing w:before="0" w:after="0" w:line="240" w:lineRule="auto"/>
              <w:rPr>
                <w:rFonts w:ascii="Times New Roman" w:hAnsi="Times New Roman"/>
                <w:sz w:val="22"/>
                <w:szCs w:val="22"/>
              </w:rPr>
            </w:pPr>
            <w:r>
              <w:rPr>
                <w:rFonts w:ascii="Times New Roman" w:hAnsi="Times New Roman" w:cs="Times New Roman"/>
                <w:sz w:val="22"/>
                <w:szCs w:val="22"/>
                <w:lang w:eastAsia="pt-BR"/>
              </w:rPr>
              <w:t>Único</w:t>
            </w:r>
          </w:p>
        </w:tc>
        <w:tc>
          <w:tcPr>
            <w:tcW w:w="2389" w:type="dxa"/>
            <w:tcBorders>
              <w:top w:val="single" w:color="000000" w:sz="4" w:space="0"/>
              <w:left w:val="single" w:color="000000" w:sz="4" w:space="0"/>
              <w:bottom w:val="single" w:color="000000" w:sz="4" w:space="0"/>
              <w:right w:val="single" w:color="000000" w:sz="4" w:space="0"/>
            </w:tcBorders>
          </w:tcPr>
          <w:p>
            <w:pPr>
              <w:tabs>
                <w:tab w:val="left" w:pos="3001"/>
              </w:tabs>
              <w:spacing w:before="0" w:after="0" w:line="240" w:lineRule="auto"/>
              <w:rPr>
                <w:rFonts w:ascii="Times New Roman" w:hAnsi="Times New Roman" w:cs="Times New Roman"/>
                <w:sz w:val="22"/>
                <w:szCs w:val="22"/>
                <w:lang w:eastAsia="pt-BR"/>
              </w:rPr>
            </w:pPr>
          </w:p>
        </w:tc>
        <w:tc>
          <w:tcPr>
            <w:tcW w:w="2235" w:type="dxa"/>
            <w:tcBorders>
              <w:top w:val="single" w:color="000000" w:sz="4" w:space="0"/>
              <w:left w:val="single" w:color="000000" w:sz="4" w:space="0"/>
              <w:bottom w:val="single" w:color="000000" w:sz="4" w:space="0"/>
              <w:right w:val="single" w:color="000000" w:sz="4" w:space="0"/>
            </w:tcBorders>
          </w:tcPr>
          <w:p>
            <w:pPr>
              <w:tabs>
                <w:tab w:val="left" w:pos="3001"/>
              </w:tabs>
              <w:spacing w:before="0" w:after="0" w:line="240" w:lineRule="auto"/>
              <w:rPr>
                <w:rFonts w:ascii="Times New Roman" w:hAnsi="Times New Roman" w:cs="Times New Roman"/>
                <w:sz w:val="22"/>
                <w:szCs w:val="22"/>
                <w:lang w:eastAsia="pt-BR"/>
              </w:rPr>
            </w:pPr>
          </w:p>
        </w:tc>
      </w:tr>
    </w:tbl>
    <w:p>
      <w:pPr>
        <w:pStyle w:val="60"/>
        <w:numPr>
          <w:ilvl w:val="0"/>
          <w:numId w:val="16"/>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REGISTROS FORMALIZADOS</w:t>
      </w:r>
    </w:p>
    <w:p>
      <w:pPr>
        <w:pStyle w:val="60"/>
        <w:numPr>
          <w:ilvl w:val="1"/>
          <w:numId w:val="16"/>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A presente ARP estabelece as cláusulas e condições gerais para o </w:t>
      </w:r>
      <w:r>
        <w:rPr>
          <w:rFonts w:hint="default" w:ascii="Times New Roman" w:hAnsi="Times New Roman"/>
          <w:b/>
          <w:bCs/>
          <w:sz w:val="22"/>
          <w:szCs w:val="22"/>
          <w:lang w:eastAsia="pt-BR"/>
        </w:rPr>
        <w:t>Registro de Preço para futura e eventual contratação de empresa especializada em fornecimento de sistema vídeo com instalação a serem disponibilizados na Câmara Municipal de Primavera do Leste-MT.</w:t>
      </w:r>
      <w:r>
        <w:rPr>
          <w:rFonts w:ascii="Times New Roman" w:hAnsi="Times New Roman" w:cs="Times New Roman"/>
          <w:sz w:val="22"/>
          <w:szCs w:val="22"/>
          <w:lang w:eastAsia="pt-BR"/>
        </w:rPr>
        <w:t>, cujas especificações, preço(s), marca(s)/modelo(s), quantitativo(s) e fornecedor(es) foram previamente definidos por meio do procedimento licitatório supracitado.</w:t>
      </w:r>
    </w:p>
    <w:p>
      <w:pPr>
        <w:pStyle w:val="60"/>
        <w:numPr>
          <w:ilvl w:val="0"/>
          <w:numId w:val="16"/>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DOS PREÇOS, ESPECIFICAÇÕES E QUANTITATIVOS</w:t>
      </w:r>
    </w:p>
    <w:p>
      <w:pPr>
        <w:pStyle w:val="60"/>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highlight w:val="none"/>
        </w:rPr>
      </w:pPr>
      <w:r>
        <w:rPr>
          <w:rFonts w:ascii="Times New Roman" w:hAnsi="Times New Roman" w:cs="Times New Roman"/>
          <w:sz w:val="22"/>
          <w:szCs w:val="22"/>
          <w:highlight w:val="none"/>
          <w:lang w:eastAsia="pt-BR"/>
        </w:rPr>
        <w:t xml:space="preserve">O preço registrado, as especificações do objeto, as quantidades mínimas e máximas de cada item, fornecedor(es) e as demais condições ofertadas na(s) proposta(s) são as que seguem: </w:t>
      </w:r>
    </w:p>
    <w:tbl>
      <w:tblPr>
        <w:tblStyle w:val="9"/>
        <w:tblW w:w="5000" w:type="pct"/>
        <w:tblInd w:w="0" w:type="dxa"/>
        <w:tblLayout w:type="fixed"/>
        <w:tblCellMar>
          <w:top w:w="0" w:type="dxa"/>
          <w:left w:w="28" w:type="dxa"/>
          <w:bottom w:w="0" w:type="dxa"/>
          <w:right w:w="28" w:type="dxa"/>
        </w:tblCellMar>
      </w:tblPr>
      <w:tblGrid>
        <w:gridCol w:w="646"/>
        <w:gridCol w:w="4448"/>
        <w:gridCol w:w="883"/>
        <w:gridCol w:w="708"/>
        <w:gridCol w:w="1049"/>
        <w:gridCol w:w="1253"/>
      </w:tblGrid>
      <w:tr>
        <w:tblPrEx>
          <w:tblCellMar>
            <w:top w:w="0" w:type="dxa"/>
            <w:left w:w="28" w:type="dxa"/>
            <w:bottom w:w="0" w:type="dxa"/>
            <w:right w:w="28" w:type="dxa"/>
          </w:tblCellMar>
        </w:tblPrEx>
        <w:tc>
          <w:tcPr>
            <w:tcW w:w="8930" w:type="dxa"/>
            <w:gridSpan w:val="6"/>
            <w:tcBorders>
              <w:top w:val="single" w:color="000000" w:sz="4" w:space="0"/>
              <w:left w:val="single" w:color="000000" w:sz="4" w:space="0"/>
              <w:bottom w:val="single" w:color="000000" w:sz="4" w:space="0"/>
              <w:right w:val="single" w:color="000000" w:sz="4" w:space="0"/>
            </w:tcBorders>
            <w:shd w:val="clear" w:color="auto" w:fill="A5A5A5" w:themeFill="background1" w:themeFillShade="A6"/>
            <w:vAlign w:val="center"/>
          </w:tcPr>
          <w:p>
            <w:pPr>
              <w:tabs>
                <w:tab w:val="left" w:pos="3001"/>
              </w:tabs>
              <w:spacing w:before="0" w:after="0" w:line="240" w:lineRule="auto"/>
              <w:rPr>
                <w:rFonts w:ascii="Times New Roman" w:hAnsi="Times New Roman"/>
                <w:sz w:val="22"/>
                <w:szCs w:val="22"/>
                <w:highlight w:val="none"/>
              </w:rPr>
            </w:pPr>
            <w:r>
              <w:rPr>
                <w:rFonts w:ascii="Times New Roman" w:hAnsi="Times New Roman" w:cs="Times New Roman"/>
                <w:sz w:val="22"/>
                <w:szCs w:val="22"/>
                <w:highlight w:val="none"/>
                <w:lang w:eastAsia="pt-BR"/>
              </w:rPr>
              <w:t>Empresa: XXXXXXXXXXXX - CNPJ: XXXXXXXXXXX</w:t>
            </w:r>
          </w:p>
          <w:p>
            <w:pPr>
              <w:tabs>
                <w:tab w:val="left" w:pos="3001"/>
              </w:tabs>
              <w:spacing w:before="0" w:after="0" w:line="240" w:lineRule="auto"/>
              <w:rPr>
                <w:rFonts w:ascii="Times New Roman" w:hAnsi="Times New Roman"/>
                <w:sz w:val="22"/>
                <w:szCs w:val="22"/>
                <w:highlight w:val="none"/>
              </w:rPr>
            </w:pPr>
            <w:r>
              <w:rPr>
                <w:rFonts w:ascii="Times New Roman" w:hAnsi="Times New Roman" w:cs="Times New Roman"/>
                <w:sz w:val="22"/>
                <w:szCs w:val="22"/>
                <w:highlight w:val="none"/>
                <w:lang w:eastAsia="pt-BR"/>
              </w:rPr>
              <w:t>Representante Legal: XXXXXXXXX</w:t>
            </w:r>
          </w:p>
          <w:p>
            <w:pPr>
              <w:tabs>
                <w:tab w:val="left" w:pos="3001"/>
              </w:tabs>
              <w:spacing w:before="0" w:after="0" w:line="240" w:lineRule="auto"/>
              <w:rPr>
                <w:rFonts w:ascii="Times New Roman" w:hAnsi="Times New Roman"/>
                <w:sz w:val="22"/>
                <w:szCs w:val="22"/>
                <w:highlight w:val="none"/>
              </w:rPr>
            </w:pPr>
            <w:r>
              <w:rPr>
                <w:rFonts w:ascii="Times New Roman" w:hAnsi="Times New Roman" w:cs="Times New Roman"/>
                <w:sz w:val="22"/>
                <w:szCs w:val="22"/>
                <w:highlight w:val="none"/>
                <w:lang w:eastAsia="pt-BR"/>
              </w:rPr>
              <w:t>Telefone: (XX) XXXX-XXXX - E-mail: XXX</w:t>
            </w:r>
          </w:p>
          <w:p>
            <w:pPr>
              <w:spacing w:before="0" w:after="0" w:line="240" w:lineRule="auto"/>
              <w:rPr>
                <w:rFonts w:ascii="Times New Roman" w:hAnsi="Times New Roman"/>
                <w:sz w:val="22"/>
                <w:szCs w:val="22"/>
                <w:highlight w:val="none"/>
              </w:rPr>
            </w:pPr>
            <w:r>
              <w:rPr>
                <w:rFonts w:ascii="Times New Roman" w:hAnsi="Times New Roman" w:cs="Times New Roman"/>
                <w:sz w:val="22"/>
                <w:szCs w:val="22"/>
                <w:highlight w:val="none"/>
                <w:lang w:eastAsia="pt-BR"/>
              </w:rPr>
              <w:t>Endereço: XXX</w:t>
            </w:r>
          </w:p>
        </w:tc>
      </w:tr>
      <w:tr>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sz w:val="22"/>
                <w:szCs w:val="22"/>
                <w:highlight w:val="none"/>
              </w:rPr>
            </w:pPr>
            <w:r>
              <w:rPr>
                <w:rFonts w:ascii="Times New Roman" w:hAnsi="Times New Roman" w:cs="Times New Roman"/>
                <w:b/>
                <w:bCs/>
                <w:sz w:val="22"/>
                <w:szCs w:val="22"/>
                <w:highlight w:val="none"/>
              </w:rPr>
              <w:t>Item</w:t>
            </w:r>
          </w:p>
        </w:tc>
        <w:tc>
          <w:tcPr>
            <w:tcW w:w="44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sz w:val="22"/>
                <w:szCs w:val="22"/>
                <w:highlight w:val="none"/>
              </w:rPr>
            </w:pPr>
            <w:r>
              <w:rPr>
                <w:rFonts w:ascii="Times New Roman" w:hAnsi="Times New Roman" w:cs="Times New Roman"/>
                <w:b/>
                <w:bCs/>
                <w:sz w:val="22"/>
                <w:szCs w:val="22"/>
                <w:highlight w:val="none"/>
              </w:rPr>
              <w:t>Descrição</w:t>
            </w:r>
          </w:p>
        </w:tc>
        <w:tc>
          <w:tcPr>
            <w:tcW w:w="87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sz w:val="22"/>
                <w:szCs w:val="22"/>
                <w:highlight w:val="none"/>
              </w:rPr>
            </w:pPr>
            <w:r>
              <w:rPr>
                <w:rFonts w:ascii="Times New Roman" w:hAnsi="Times New Roman" w:cs="Times New Roman"/>
                <w:b/>
                <w:bCs/>
                <w:sz w:val="22"/>
                <w:szCs w:val="22"/>
                <w:highlight w:val="none"/>
              </w:rPr>
              <w:t>Unidade</w:t>
            </w:r>
          </w:p>
        </w:tc>
        <w:tc>
          <w:tcPr>
            <w:tcW w:w="70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sz w:val="22"/>
                <w:szCs w:val="22"/>
                <w:highlight w:val="none"/>
              </w:rPr>
            </w:pPr>
            <w:r>
              <w:rPr>
                <w:rFonts w:ascii="Times New Roman" w:hAnsi="Times New Roman" w:cs="Times New Roman"/>
                <w:b/>
                <w:bCs/>
                <w:sz w:val="22"/>
                <w:szCs w:val="22"/>
                <w:highlight w:val="none"/>
              </w:rPr>
              <w:t>Qtde</w:t>
            </w:r>
          </w:p>
        </w:tc>
        <w:tc>
          <w:tcPr>
            <w:tcW w:w="10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sz w:val="22"/>
                <w:szCs w:val="22"/>
                <w:highlight w:val="none"/>
              </w:rPr>
            </w:pPr>
            <w:r>
              <w:rPr>
                <w:rFonts w:ascii="Times New Roman" w:hAnsi="Times New Roman" w:cs="Times New Roman"/>
                <w:b/>
                <w:bCs/>
                <w:sz w:val="22"/>
                <w:szCs w:val="22"/>
                <w:highlight w:val="none"/>
              </w:rPr>
              <w:t>Preço</w:t>
            </w:r>
          </w:p>
          <w:p>
            <w:pPr>
              <w:spacing w:before="0" w:after="0" w:line="240" w:lineRule="auto"/>
              <w:jc w:val="center"/>
              <w:rPr>
                <w:rFonts w:ascii="Times New Roman" w:hAnsi="Times New Roman"/>
                <w:sz w:val="22"/>
                <w:szCs w:val="22"/>
                <w:highlight w:val="none"/>
              </w:rPr>
            </w:pPr>
            <w:r>
              <w:rPr>
                <w:rFonts w:ascii="Times New Roman" w:hAnsi="Times New Roman" w:cs="Times New Roman"/>
                <w:b/>
                <w:bCs/>
                <w:sz w:val="22"/>
                <w:szCs w:val="22"/>
                <w:highlight w:val="none"/>
              </w:rPr>
              <w:t>Unitário</w:t>
            </w:r>
          </w:p>
        </w:tc>
        <w:tc>
          <w:tcPr>
            <w:tcW w:w="124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sz w:val="22"/>
                <w:szCs w:val="22"/>
                <w:highlight w:val="none"/>
              </w:rPr>
            </w:pPr>
            <w:r>
              <w:rPr>
                <w:rFonts w:ascii="Times New Roman" w:hAnsi="Times New Roman" w:cs="Times New Roman"/>
                <w:b/>
                <w:sz w:val="22"/>
                <w:szCs w:val="22"/>
                <w:highlight w:val="none"/>
              </w:rPr>
              <w:t>Preço</w:t>
            </w:r>
          </w:p>
          <w:p>
            <w:pPr>
              <w:spacing w:before="0" w:after="0" w:line="240" w:lineRule="auto"/>
              <w:jc w:val="center"/>
              <w:rPr>
                <w:rFonts w:ascii="Times New Roman" w:hAnsi="Times New Roman"/>
                <w:sz w:val="22"/>
                <w:szCs w:val="22"/>
                <w:highlight w:val="none"/>
              </w:rPr>
            </w:pPr>
            <w:r>
              <w:rPr>
                <w:rFonts w:ascii="Times New Roman" w:hAnsi="Times New Roman" w:cs="Times New Roman"/>
                <w:b/>
                <w:sz w:val="22"/>
                <w:szCs w:val="22"/>
                <w:highlight w:val="none"/>
              </w:rPr>
              <w:t>Total</w:t>
            </w:r>
          </w:p>
        </w:tc>
      </w:tr>
      <w:tr>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tcPr>
          <w:p>
            <w:pPr>
              <w:spacing w:before="0" w:after="0" w:line="240" w:lineRule="auto"/>
              <w:rPr>
                <w:rFonts w:ascii="Times New Roman" w:hAnsi="Times New Roman"/>
                <w:sz w:val="22"/>
                <w:szCs w:val="22"/>
                <w:highlight w:val="none"/>
              </w:rPr>
            </w:pPr>
            <w:r>
              <w:rPr>
                <w:rFonts w:ascii="Times New Roman" w:hAnsi="Times New Roman" w:cs="Times New Roman"/>
                <w:color w:val="000000"/>
                <w:sz w:val="22"/>
                <w:szCs w:val="22"/>
                <w:highlight w:val="none"/>
              </w:rPr>
              <w:t>Único</w:t>
            </w:r>
          </w:p>
        </w:tc>
        <w:tc>
          <w:tcPr>
            <w:tcW w:w="4420" w:type="dxa"/>
            <w:tcBorders>
              <w:top w:val="single" w:color="000000" w:sz="4" w:space="0"/>
              <w:left w:val="single" w:color="000000" w:sz="4" w:space="0"/>
              <w:bottom w:val="single" w:color="000000" w:sz="4" w:space="0"/>
              <w:right w:val="single" w:color="000000" w:sz="4" w:space="0"/>
            </w:tcBorders>
            <w:vAlign w:val="center"/>
          </w:tcPr>
          <w:p>
            <w:pPr>
              <w:spacing w:before="0" w:after="0" w:line="240" w:lineRule="auto"/>
              <w:jc w:val="both"/>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XXX</w:t>
            </w:r>
          </w:p>
        </w:tc>
        <w:tc>
          <w:tcPr>
            <w:tcW w:w="877" w:type="dxa"/>
            <w:tcBorders>
              <w:top w:val="single" w:color="000000" w:sz="4" w:space="0"/>
              <w:left w:val="single" w:color="000000" w:sz="4" w:space="0"/>
              <w:bottom w:val="single" w:color="000000" w:sz="4" w:space="0"/>
              <w:right w:val="single" w:color="000000" w:sz="4" w:space="0"/>
            </w:tcBorders>
          </w:tcPr>
          <w:p>
            <w:pPr>
              <w:spacing w:before="0" w:after="0" w:line="240" w:lineRule="auto"/>
              <w:jc w:val="both"/>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XXX</w:t>
            </w:r>
          </w:p>
        </w:tc>
        <w:tc>
          <w:tcPr>
            <w:tcW w:w="704" w:type="dxa"/>
            <w:tcBorders>
              <w:top w:val="single" w:color="000000" w:sz="4" w:space="0"/>
              <w:left w:val="single" w:color="000000" w:sz="4" w:space="0"/>
              <w:bottom w:val="single" w:color="000000" w:sz="4" w:space="0"/>
              <w:right w:val="single" w:color="000000" w:sz="4" w:space="0"/>
            </w:tcBorders>
          </w:tcPr>
          <w:p>
            <w:pPr>
              <w:spacing w:before="0" w:after="0" w:line="240" w:lineRule="auto"/>
              <w:rPr>
                <w:rFonts w:ascii="Times New Roman" w:hAnsi="Times New Roman"/>
                <w:sz w:val="22"/>
                <w:szCs w:val="22"/>
                <w:highlight w:val="none"/>
              </w:rPr>
            </w:pPr>
            <w:r>
              <w:rPr>
                <w:rFonts w:ascii="Times New Roman" w:hAnsi="Times New Roman" w:cs="Times New Roman"/>
                <w:bCs/>
                <w:sz w:val="22"/>
                <w:szCs w:val="22"/>
                <w:highlight w:val="none"/>
              </w:rPr>
              <w:t>XXX</w:t>
            </w:r>
          </w:p>
        </w:tc>
        <w:tc>
          <w:tcPr>
            <w:tcW w:w="1042" w:type="dxa"/>
            <w:tcBorders>
              <w:top w:val="single" w:color="000000" w:sz="4" w:space="0"/>
              <w:left w:val="single" w:color="000000" w:sz="4" w:space="0"/>
              <w:bottom w:val="single" w:color="000000" w:sz="4" w:space="0"/>
              <w:right w:val="single" w:color="000000" w:sz="4" w:space="0"/>
            </w:tcBorders>
          </w:tcPr>
          <w:p>
            <w:pPr>
              <w:spacing w:before="0" w:after="0" w:line="240" w:lineRule="auto"/>
              <w:jc w:val="both"/>
              <w:rPr>
                <w:rFonts w:ascii="Times New Roman" w:hAnsi="Times New Roman"/>
                <w:sz w:val="22"/>
                <w:szCs w:val="22"/>
                <w:highlight w:val="none"/>
              </w:rPr>
            </w:pPr>
            <w:r>
              <w:rPr>
                <w:rFonts w:ascii="Times New Roman" w:hAnsi="Times New Roman" w:eastAsia="Arial" w:cs="Times New Roman"/>
                <w:color w:val="000000"/>
                <w:sz w:val="22"/>
                <w:szCs w:val="22"/>
                <w:highlight w:val="none"/>
              </w:rPr>
              <w:t>R$ XXXX</w:t>
            </w:r>
          </w:p>
        </w:tc>
        <w:tc>
          <w:tcPr>
            <w:tcW w:w="1245" w:type="dxa"/>
            <w:tcBorders>
              <w:top w:val="single" w:color="000000" w:sz="4" w:space="0"/>
              <w:left w:val="single" w:color="000000" w:sz="4" w:space="0"/>
              <w:bottom w:val="single" w:color="000000" w:sz="4" w:space="0"/>
              <w:right w:val="single" w:color="000000" w:sz="4" w:space="0"/>
            </w:tcBorders>
          </w:tcPr>
          <w:p>
            <w:pPr>
              <w:spacing w:before="0" w:after="0" w:line="240" w:lineRule="auto"/>
              <w:jc w:val="both"/>
              <w:rPr>
                <w:rFonts w:ascii="Times New Roman" w:hAnsi="Times New Roman"/>
                <w:sz w:val="22"/>
                <w:szCs w:val="22"/>
                <w:highlight w:val="none"/>
              </w:rPr>
            </w:pPr>
            <w:r>
              <w:rPr>
                <w:rFonts w:ascii="Times New Roman" w:hAnsi="Times New Roman" w:eastAsia="Arial" w:cs="Times New Roman"/>
                <w:color w:val="000000"/>
                <w:sz w:val="22"/>
                <w:szCs w:val="22"/>
                <w:highlight w:val="none"/>
              </w:rPr>
              <w:t>R$ XXXXX</w:t>
            </w:r>
          </w:p>
        </w:tc>
      </w:tr>
    </w:tbl>
    <w:p>
      <w:pPr>
        <w:pStyle w:val="60"/>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highlight w:val="none"/>
          <w:lang w:eastAsia="pt-BR"/>
        </w:rPr>
        <w:t>O fornecedor obriga-se ao cumprimento de todos os encargos estabelecidos na presente ARP, nos exatos termos do resultado obtido no procedimento licitatório, quanto ao preço, a quantidade e as especificações do objeto registrado, integrando e complementad</w:t>
      </w:r>
      <w:r>
        <w:rPr>
          <w:rFonts w:ascii="Times New Roman" w:hAnsi="Times New Roman" w:cs="Times New Roman"/>
          <w:sz w:val="22"/>
          <w:szCs w:val="22"/>
          <w:lang w:eastAsia="pt-BR"/>
        </w:rPr>
        <w:t>o a presente ARP os seguintes documentos, que são parte integrante da presente ARP, independente de transcrição, e que devem ser totalmente observados e cumpridos e:</w:t>
      </w:r>
    </w:p>
    <w:p>
      <w:pPr>
        <w:pStyle w:val="60"/>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Termo de Referência contendo as especificações técnicas completas e todas as condições gerais de execução do objeto;</w:t>
      </w:r>
    </w:p>
    <w:p>
      <w:pPr>
        <w:pStyle w:val="60"/>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Proposta(s) comercial(is) do(s) particular(es) cujo(s) preço(s) conta(m) registrado(s);</w:t>
      </w:r>
    </w:p>
    <w:p>
      <w:pPr>
        <w:pStyle w:val="60"/>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Edital do Pregão nº 004/2024.</w:t>
      </w:r>
    </w:p>
    <w:p>
      <w:pPr>
        <w:pStyle w:val="60"/>
        <w:numPr>
          <w:ilvl w:val="0"/>
          <w:numId w:val="16"/>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VIGÊNCIA DA ARP</w:t>
      </w:r>
    </w:p>
    <w:p>
      <w:pPr>
        <w:pStyle w:val="60"/>
        <w:numPr>
          <w:ilvl w:val="1"/>
          <w:numId w:val="16"/>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O prazo de vigência da ata de registro de preços será de 1 (um) ano, contado do primeiro dia útil subsequente à data de divulgação no PNCP (</w:t>
      </w:r>
      <w:r>
        <w:fldChar w:fldCharType="begin"/>
      </w:r>
      <w:r>
        <w:instrText xml:space="preserve"> HYPERLINK "https://pncp.gov.br/" \h </w:instrText>
      </w:r>
      <w:r>
        <w:fldChar w:fldCharType="separate"/>
      </w:r>
      <w:r>
        <w:rPr>
          <w:rStyle w:val="54"/>
          <w:rFonts w:ascii="Times New Roman" w:hAnsi="Times New Roman"/>
          <w:sz w:val="22"/>
          <w:szCs w:val="22"/>
          <w:lang w:eastAsia="pt-BR"/>
        </w:rPr>
        <w:t>https://pncp.gov.br/</w:t>
      </w:r>
      <w:r>
        <w:rPr>
          <w:rStyle w:val="54"/>
          <w:rFonts w:ascii="Times New Roman" w:hAnsi="Times New Roman"/>
          <w:sz w:val="22"/>
          <w:szCs w:val="22"/>
          <w:lang w:eastAsia="pt-BR"/>
        </w:rPr>
        <w:fldChar w:fldCharType="end"/>
      </w:r>
      <w:r>
        <w:rPr>
          <w:rFonts w:ascii="Times New Roman" w:hAnsi="Times New Roman" w:cs="Times New Roman"/>
          <w:sz w:val="22"/>
          <w:szCs w:val="22"/>
          <w:lang w:eastAsia="pt-BR"/>
        </w:rPr>
        <w:t>), e poderá ser prorrogado por igual período, desde que comprovado que o preço é vantajoso.</w:t>
      </w:r>
    </w:p>
    <w:p>
      <w:pPr>
        <w:pStyle w:val="60"/>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prorrogação da vigência da ARP dependerá da concordância das partes e de comprovação da vantajosidade dos preços.</w:t>
      </w:r>
    </w:p>
    <w:p>
      <w:pPr>
        <w:pStyle w:val="60"/>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prorrogação da vigência da ARP será registrada mediante termo de prorrogação pactuado pelas partes nos autos de gestão da ARP.</w:t>
      </w:r>
    </w:p>
    <w:p>
      <w:pPr>
        <w:pStyle w:val="60"/>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prorrogação da vigência da ARP deverá ser publicada e divulgada nos meios oficiais de publicação e divulgação.</w:t>
      </w:r>
    </w:p>
    <w:p>
      <w:pPr>
        <w:pStyle w:val="60"/>
        <w:numPr>
          <w:ilvl w:val="0"/>
          <w:numId w:val="16"/>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CONTRATAÇÕES FUTURAS</w:t>
      </w:r>
    </w:p>
    <w:p>
      <w:pPr>
        <w:pStyle w:val="60"/>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As contratações decorrentes da presente ARP poderão ser realizadas diretamente pelo órgão gerenciador, ou por cada um dos participantes (se houver), observados os quantitativos respectivamente previstos para cada procedimento de licitação, e as demais exigências e formalidades previstas na legislação e na jurisprudência do TCU.</w:t>
      </w:r>
    </w:p>
    <w:p>
      <w:pPr>
        <w:pStyle w:val="60"/>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Poderá haver, a critério do órgão gerenciador, e desde que haja expressa concordância dos interessados envolvidos, REMANEJAMENTO DE QUANTITATIVOS previstos na ARP entre os ÓRGÃOS PARTICIPANTES, ou entre este(s) e o ÓRGÃO GERENCIADOR, o qual será formalizado nos autos de gestão da ARP por intermédio de apostilamento e publicado.</w:t>
      </w:r>
    </w:p>
    <w:p>
      <w:pPr>
        <w:pStyle w:val="60"/>
        <w:numPr>
          <w:ilvl w:val="1"/>
          <w:numId w:val="16"/>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Em caso de licitação com critério de julgamento por GRUPO DE ITENS, as contratações futuras deverão ser realizadas, em regra, de forma proporcional para todos os itens de cada grupo, salvo justificativa técnica e desde que o valor registrado seja igual ou inferior aos preços contidos nas propostas dos demais licitantes e compatíveis com os preços de mercado, nos termos contidos no </w:t>
      </w:r>
      <w:r>
        <w:fldChar w:fldCharType="begin"/>
      </w:r>
      <w:r>
        <w:rPr>
          <w:rStyle w:val="54"/>
          <w:rFonts w:ascii="Times New Roman" w:hAnsi="Times New Roman"/>
          <w:sz w:val="22"/>
          <w:szCs w:val="22"/>
          <w:lang w:eastAsia="pt-BR"/>
        </w:rPr>
        <w:instrText xml:space="preserve"> HYPERLINK "https://www.planalto.gov.br/ccivil_03/_ato2019-2022/2021/lei/l14133.htm" \l "art82"</w:instrText>
      </w:r>
      <w:r>
        <w:rPr>
          <w:rStyle w:val="54"/>
          <w:rFonts w:ascii="Times New Roman" w:hAnsi="Times New Roman"/>
          <w:sz w:val="22"/>
          <w:szCs w:val="22"/>
          <w:lang w:eastAsia="pt-BR"/>
        </w:rPr>
        <w:fldChar w:fldCharType="separate"/>
      </w:r>
      <w:r>
        <w:rPr>
          <w:rStyle w:val="54"/>
          <w:rFonts w:ascii="Times New Roman" w:hAnsi="Times New Roman"/>
          <w:sz w:val="22"/>
          <w:szCs w:val="22"/>
          <w:lang w:eastAsia="pt-BR"/>
        </w:rPr>
        <w:t>art. 82, § 2º, da Lei Federal nº 14.133, de 2021</w:t>
      </w:r>
      <w:r>
        <w:rPr>
          <w:rStyle w:val="54"/>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0"/>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contratação decorrente deverá observar as condições fixadas no Edital de Licitação referente ao Pregão nº 004/2024</w:t>
      </w:r>
      <w:r>
        <w:rPr>
          <w:rFonts w:ascii="Times New Roman" w:hAnsi="Times New Roman" w:cs="Times New Roman"/>
          <w:sz w:val="22"/>
          <w:szCs w:val="22"/>
          <w:shd w:val="clear" w:fill="auto"/>
          <w:lang w:eastAsia="pt-BR"/>
        </w:rPr>
        <w:t xml:space="preserve"> </w:t>
      </w:r>
      <w:r>
        <w:rPr>
          <w:rFonts w:ascii="Times New Roman" w:hAnsi="Times New Roman" w:cs="Times New Roman"/>
          <w:sz w:val="22"/>
          <w:szCs w:val="22"/>
          <w:lang w:eastAsia="pt-BR"/>
        </w:rPr>
        <w:t>e seus anexos.</w:t>
      </w:r>
    </w:p>
    <w:p>
      <w:pPr>
        <w:pStyle w:val="60"/>
        <w:numPr>
          <w:ilvl w:val="0"/>
          <w:numId w:val="16"/>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VÍNCULOS DA ARP</w:t>
      </w:r>
    </w:p>
    <w:p>
      <w:pPr>
        <w:pStyle w:val="60"/>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existência desta ARP não obriga a Administração a contratar, facultando-se a realização de licitação específica para a aquisição pretendida, assegurada preferência ao fornecedor registrado em igualdade de condições.</w:t>
      </w:r>
    </w:p>
    <w:p>
      <w:pPr>
        <w:pStyle w:val="60"/>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titular do registro de preços vincula-se integralmente, durante a vigência da ARP, ao cumprimento das obrigações contidas na ARP, bem como à formalização das contratações dela decorrentes, salvo cancelamento ou rescisão do registro, sob pena de sofrer as sanções administrativas previstas Edital de Licitação do Pregão nº 004/2024</w:t>
      </w:r>
      <w:r>
        <w:rPr>
          <w:rFonts w:ascii="Times New Roman" w:hAnsi="Times New Roman" w:cs="Times New Roman"/>
          <w:sz w:val="22"/>
          <w:szCs w:val="22"/>
          <w:shd w:val="clear" w:fill="auto"/>
          <w:lang w:eastAsia="pt-BR"/>
        </w:rPr>
        <w:t>.</w:t>
      </w:r>
    </w:p>
    <w:p>
      <w:pPr>
        <w:pStyle w:val="60"/>
        <w:numPr>
          <w:ilvl w:val="0"/>
          <w:numId w:val="0"/>
        </w:numPr>
        <w:tabs>
          <w:tab w:val="left" w:pos="1134"/>
          <w:tab w:val="left" w:pos="3001"/>
        </w:tabs>
        <w:spacing w:before="120" w:after="120" w:line="240" w:lineRule="auto"/>
        <w:ind w:left="0" w:firstLine="0"/>
        <w:contextualSpacing w:val="0"/>
        <w:jc w:val="both"/>
        <w:rPr>
          <w:rFonts w:ascii="Times New Roman" w:hAnsi="Times New Roman"/>
          <w:sz w:val="22"/>
          <w:szCs w:val="22"/>
        </w:rPr>
      </w:pPr>
    </w:p>
    <w:p>
      <w:pPr>
        <w:pStyle w:val="60"/>
        <w:numPr>
          <w:ilvl w:val="0"/>
          <w:numId w:val="16"/>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ADESÃO DE ÓRGÃO OU ENTIDADE PÚBLICA NÃO PARTICIPANTE</w:t>
      </w:r>
    </w:p>
    <w:p>
      <w:pPr>
        <w:pStyle w:val="60"/>
        <w:numPr>
          <w:ilvl w:val="1"/>
          <w:numId w:val="16"/>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Desde que devidamente justificada a vantagem, qualquer órgão ou entidade da Administração Pública poderá solicitar a utilização da presente ARP (POR ADESÃO), durante sua vigência, independentemente da participação ou não na licitação sobredita, mediante anuências do órgão gerenciador e do particular titular do registro, nos termos previstos no </w:t>
      </w:r>
      <w:r>
        <w:fldChar w:fldCharType="begin"/>
      </w:r>
      <w:r>
        <w:rPr>
          <w:rStyle w:val="54"/>
          <w:rFonts w:ascii="Times New Roman" w:hAnsi="Times New Roman"/>
          <w:sz w:val="22"/>
          <w:szCs w:val="22"/>
          <w:lang w:eastAsia="pt-BR"/>
        </w:rPr>
        <w:instrText xml:space="preserve"> HYPERLINK "https://www.planalto.gov.br/ccivil_03/_ato2019-2022/2021/lei/l14133.htm" \l "art86"</w:instrText>
      </w:r>
      <w:r>
        <w:rPr>
          <w:rStyle w:val="54"/>
          <w:rFonts w:ascii="Times New Roman" w:hAnsi="Times New Roman"/>
          <w:sz w:val="22"/>
          <w:szCs w:val="22"/>
          <w:lang w:eastAsia="pt-BR"/>
        </w:rPr>
        <w:fldChar w:fldCharType="separate"/>
      </w:r>
      <w:r>
        <w:rPr>
          <w:rStyle w:val="54"/>
          <w:rFonts w:ascii="Times New Roman" w:hAnsi="Times New Roman"/>
          <w:sz w:val="22"/>
          <w:szCs w:val="22"/>
          <w:lang w:eastAsia="pt-BR"/>
        </w:rPr>
        <w:t>art. 86, §§ 2º a 5º, da Lei Federal nº 14.133, de 2021</w:t>
      </w:r>
      <w:r>
        <w:rPr>
          <w:rStyle w:val="54"/>
          <w:rFonts w:ascii="Times New Roman" w:hAnsi="Times New Roman"/>
          <w:sz w:val="22"/>
          <w:szCs w:val="22"/>
          <w:lang w:eastAsia="pt-BR"/>
        </w:rPr>
        <w:fldChar w:fldCharType="end"/>
      </w:r>
      <w:r>
        <w:rPr>
          <w:rFonts w:ascii="Times New Roman" w:hAnsi="Times New Roman" w:cs="Times New Roman"/>
          <w:sz w:val="22"/>
          <w:szCs w:val="22"/>
          <w:lang w:eastAsia="pt-BR"/>
        </w:rPr>
        <w:t>, desde que observadas as disposições abaixo:</w:t>
      </w:r>
    </w:p>
    <w:p>
      <w:pPr>
        <w:pStyle w:val="60"/>
        <w:numPr>
          <w:ilvl w:val="2"/>
          <w:numId w:val="16"/>
        </w:numPr>
        <w:tabs>
          <w:tab w:val="left" w:pos="1134"/>
          <w:tab w:val="left" w:pos="3001"/>
        </w:tabs>
        <w:spacing w:before="120" w:after="120" w:line="240" w:lineRule="auto"/>
        <w:contextualSpacing w:val="0"/>
        <w:jc w:val="both"/>
        <w:rPr>
          <w:sz w:val="22"/>
          <w:szCs w:val="22"/>
        </w:rPr>
      </w:pPr>
      <w:r>
        <w:rPr>
          <w:rFonts w:ascii="Times New Roman" w:hAnsi="Times New Roman" w:cs="Times New Roman"/>
          <w:sz w:val="22"/>
          <w:szCs w:val="22"/>
          <w:lang w:eastAsia="pt-BR"/>
        </w:rPr>
        <w:t>O órgão ou entidade pública interessado na adesão deverá consultar prévia e diretamente o fornecedor titular da ARP, visando obter a concordância formal com a contratação pretendida.</w:t>
      </w:r>
    </w:p>
    <w:p>
      <w:pPr>
        <w:pStyle w:val="60"/>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É faculdade do fornecedor titular da ARP, observadas as condições nela estabelecidas, a aceitação ou não da contratação decorrente de adesão, independentemente de qualquer justificativa formal.</w:t>
      </w:r>
    </w:p>
    <w:p>
      <w:pPr>
        <w:pStyle w:val="60"/>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Cabe ao órgão ou entidade aderente encaminhar ao GERENCIADOR a concordância do fornecedor.</w:t>
      </w:r>
    </w:p>
    <w:p>
      <w:pPr>
        <w:pStyle w:val="60"/>
        <w:numPr>
          <w:ilvl w:val="2"/>
          <w:numId w:val="16"/>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 xml:space="preserve">Proceder à consulta formal ao GERENCIADOR, por meio de ofício ou outro expediente competente, encaminhado para o e-mail institucional </w:t>
      </w:r>
      <w:r>
        <w:fldChar w:fldCharType="begin"/>
      </w:r>
      <w:r>
        <w:instrText xml:space="preserve"> HYPERLINK "mailto:compras@primaveradoleste.mt.leg.br" \h </w:instrText>
      </w:r>
      <w:r>
        <w:fldChar w:fldCharType="separate"/>
      </w:r>
      <w:r>
        <w:rPr>
          <w:rStyle w:val="54"/>
          <w:rFonts w:ascii="Times New Roman" w:hAnsi="Times New Roman"/>
          <w:sz w:val="22"/>
          <w:szCs w:val="22"/>
          <w:lang w:eastAsia="pt-BR"/>
        </w:rPr>
        <w:t>compras@primaveradoleste.mt.leg.br</w:t>
      </w:r>
      <w:r>
        <w:rPr>
          <w:rStyle w:val="54"/>
          <w:rFonts w:ascii="Times New Roman" w:hAnsi="Times New Roman"/>
          <w:sz w:val="22"/>
          <w:szCs w:val="22"/>
          <w:lang w:eastAsia="pt-BR"/>
        </w:rPr>
        <w:fldChar w:fldCharType="end"/>
      </w:r>
      <w:r>
        <w:rPr>
          <w:rFonts w:ascii="Times New Roman" w:hAnsi="Times New Roman" w:cs="Times New Roman"/>
          <w:sz w:val="22"/>
          <w:szCs w:val="22"/>
        </w:rPr>
        <w:t xml:space="preserve">, </w:t>
      </w:r>
      <w:r>
        <w:rPr>
          <w:rFonts w:ascii="Times New Roman" w:hAnsi="Times New Roman" w:cs="Times New Roman"/>
          <w:sz w:val="22"/>
          <w:szCs w:val="22"/>
          <w:lang w:eastAsia="pt-BR"/>
        </w:rPr>
        <w:t>no qual deverá constar o objeto que interessa contratar, o respectivo quantitativo pretendido e a concordância do fornecedor para fins de análise e manifestação sobre a possibilidade de adesão.</w:t>
      </w:r>
    </w:p>
    <w:p>
      <w:pPr>
        <w:pStyle w:val="60"/>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autorização do órgão gerenciador apenas será realizada após a aceitação da adesão pelo fornecedor, que poderá rejeitar adesões caso elas possam acarretar prejuízo à execução de seus próprios contratos ou à sua capacidade de gerenciamento.</w:t>
      </w:r>
    </w:p>
    <w:p>
      <w:pPr>
        <w:pStyle w:val="60"/>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GERENCIADOR poderá recusar a adesão requerida, quer em face do fato de haver a possibilidade de prejuízo ao atendimento de suas próprias contratações ou de participante da ARP, quer por não cumprimento de um dos requisitos fixados nesta ARP, sempre por intermédio de despacho fundamentado.</w:t>
      </w:r>
    </w:p>
    <w:p>
      <w:pPr>
        <w:pStyle w:val="60"/>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Após a autorização do órgão gerenciador, o órgão ou entidade não participante deverá efetivar a aquisição ou a contratação solicitada em até 90 (noventa) dias, observado o prazo de vigência da ata, sendo que esse prazo poderá ser prorrogado excepcionalmente, mediante solicitação do órgão ou da entidade não participante aceita pelo órgão gerenciador, desde que respeitado o limite temporal de vigência da ata de registro de preços.</w:t>
      </w:r>
    </w:p>
    <w:p>
      <w:pPr>
        <w:pStyle w:val="60"/>
        <w:numPr>
          <w:ilvl w:val="0"/>
          <w:numId w:val="16"/>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LIMITES PARA ADESÕES</w:t>
      </w:r>
    </w:p>
    <w:p>
      <w:pPr>
        <w:pStyle w:val="60"/>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As aquisições ou contratações adicionais não poderão exceder, por órgão ou entidade, a 50% (cinquenta por cento) dos quantitativos dos itens do instrumento convocatório registrados na ata de registro de preços para o gerenciador e para os participantes.</w:t>
      </w:r>
    </w:p>
    <w:p>
      <w:pPr>
        <w:pStyle w:val="60"/>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pPr>
        <w:pStyle w:val="60"/>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No caso de ITEM(NS)/GRUPO(S) com participação EXCLUSIVA À MEI’S, ME'S E EPP'S na licitação, o total das contratações decorrente da presente ARP (inclusive por adesões) não poderão totalizar mais que R$ 80.000,00 (oitenta mil reais), conforme jurisprudência do TCU.</w:t>
      </w:r>
    </w:p>
    <w:p>
      <w:pPr>
        <w:pStyle w:val="60"/>
        <w:numPr>
          <w:ilvl w:val="1"/>
          <w:numId w:val="16"/>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Em caso de licitação com critério de julgamento por GRUPO DE ITENS, a contratação por adesão será realizada, em regra, de forma proporcional para todos os itens do grupo, salvo justificativa técnica e desde que o valor registrado seja igual ou inferior aos preços contidos nas propostas dos demais licitantes e compatíveis com os preços de mercado, nos termos contidos no </w:t>
      </w:r>
      <w:r>
        <w:fldChar w:fldCharType="begin"/>
      </w:r>
      <w:r>
        <w:rPr>
          <w:rStyle w:val="54"/>
          <w:rFonts w:ascii="Times New Roman" w:hAnsi="Times New Roman"/>
          <w:sz w:val="22"/>
          <w:szCs w:val="22"/>
          <w:lang w:eastAsia="pt-BR"/>
        </w:rPr>
        <w:instrText xml:space="preserve"> HYPERLINK "https://www.planalto.gov.br/ccivil_03/_ato2019-2022/2021/lei/l14133.htm" \l "art82"</w:instrText>
      </w:r>
      <w:r>
        <w:rPr>
          <w:rStyle w:val="54"/>
          <w:rFonts w:ascii="Times New Roman" w:hAnsi="Times New Roman"/>
          <w:sz w:val="22"/>
          <w:szCs w:val="22"/>
          <w:lang w:eastAsia="pt-BR"/>
        </w:rPr>
        <w:fldChar w:fldCharType="separate"/>
      </w:r>
      <w:r>
        <w:rPr>
          <w:rStyle w:val="54"/>
          <w:rFonts w:ascii="Times New Roman" w:hAnsi="Times New Roman"/>
          <w:sz w:val="22"/>
          <w:szCs w:val="22"/>
          <w:lang w:eastAsia="pt-BR"/>
        </w:rPr>
        <w:t>art. 82, § 2º, da Lei Federal nº 14.133, de 2021</w:t>
      </w:r>
      <w:r>
        <w:rPr>
          <w:rStyle w:val="54"/>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0"/>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Autorizada a utilização da ARP pelo Órgão Gerenciador, o órgão ou entidade pública não participante (aderente) apenas poderá realizar a contratação autorizada, caso estejam presentes os seguintes requisitos temporais conjuntamente:</w:t>
      </w:r>
    </w:p>
    <w:p>
      <w:pPr>
        <w:pStyle w:val="60"/>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Em até 90 (noventa) dias corridos, contados do recebimento da autorização, em razão da caducidade do ato, podendo o prazo ser prorrogado pelo ÓRGÃO GERENCIADOR, desde que solicitado pelo interessado e ainda vigente a ARP; e,</w:t>
      </w:r>
    </w:p>
    <w:p>
      <w:pPr>
        <w:pStyle w:val="60"/>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Apenas durante a vigência da presente ARP.</w:t>
      </w:r>
    </w:p>
    <w:p>
      <w:pPr>
        <w:pStyle w:val="60"/>
        <w:numPr>
          <w:ilvl w:val="0"/>
          <w:numId w:val="16"/>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COMUNICAÇÃO AO GERENCIADOR</w:t>
      </w:r>
    </w:p>
    <w:p>
      <w:pPr>
        <w:pStyle w:val="60"/>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Quando da realização efetiva da respectiva contratação por adesão, deverá o órgão ou entidade aderente informar ao GERENCIADOR, no prazo máximo de 5 (cinco) dias úteis, contados da contratação, a contratação para fins de registro definitivo.</w:t>
      </w:r>
    </w:p>
    <w:p>
      <w:pPr>
        <w:pStyle w:val="60"/>
        <w:numPr>
          <w:ilvl w:val="0"/>
          <w:numId w:val="16"/>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VEDAÇÃO A ACRÉSCIMO DE QUANTITATIVOS</w:t>
      </w:r>
    </w:p>
    <w:p>
      <w:pPr>
        <w:pStyle w:val="60"/>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É vedado efetuar acréscimos nos quantitativos fixados na ata de registro de preços.</w:t>
      </w:r>
    </w:p>
    <w:p>
      <w:pPr>
        <w:pStyle w:val="60"/>
        <w:numPr>
          <w:ilvl w:val="0"/>
          <w:numId w:val="16"/>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CONTRATAÇÃO DECORRENTE DA ARP</w:t>
      </w:r>
    </w:p>
    <w:p>
      <w:pPr>
        <w:pStyle w:val="60"/>
        <w:numPr>
          <w:ilvl w:val="1"/>
          <w:numId w:val="16"/>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A contratação com o(s) fornecedor(es) registrado(s) na ARP deverá ser formalizada no prazo de validade da Ata e será formalizada por intermédio da emissão de Instrumento de Contrato (Anexo V do Edital do Pregão nº 004/2024</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conforme o </w:t>
      </w:r>
      <w:r>
        <w:fldChar w:fldCharType="begin"/>
      </w:r>
      <w:r>
        <w:rPr>
          <w:rStyle w:val="54"/>
          <w:rFonts w:ascii="Times New Roman" w:hAnsi="Times New Roman"/>
          <w:sz w:val="22"/>
          <w:szCs w:val="22"/>
          <w:lang w:eastAsia="pt-BR"/>
        </w:rPr>
        <w:instrText xml:space="preserve"> HYPERLINK "https://www.planalto.gov.br/ccivil_03/_ato2019-2022/2021/lei/l14133.htm" \l "art95"</w:instrText>
      </w:r>
      <w:r>
        <w:rPr>
          <w:rStyle w:val="54"/>
          <w:rFonts w:ascii="Times New Roman" w:hAnsi="Times New Roman"/>
          <w:sz w:val="22"/>
          <w:szCs w:val="22"/>
          <w:lang w:eastAsia="pt-BR"/>
        </w:rPr>
        <w:fldChar w:fldCharType="separate"/>
      </w:r>
      <w:r>
        <w:rPr>
          <w:rStyle w:val="54"/>
          <w:rFonts w:ascii="Times New Roman" w:hAnsi="Times New Roman"/>
          <w:sz w:val="22"/>
          <w:szCs w:val="22"/>
          <w:lang w:eastAsia="pt-BR"/>
        </w:rPr>
        <w:t>art. 95 da Lei Federal nº 14.133, de 2021</w:t>
      </w:r>
      <w:r>
        <w:rPr>
          <w:rStyle w:val="54"/>
          <w:rFonts w:ascii="Times New Roman" w:hAnsi="Times New Roman"/>
          <w:sz w:val="22"/>
          <w:szCs w:val="22"/>
          <w:lang w:eastAsia="pt-BR"/>
        </w:rPr>
        <w:fldChar w:fldCharType="end"/>
      </w:r>
      <w:r>
        <w:rPr>
          <w:rFonts w:ascii="Times New Roman" w:hAnsi="Times New Roman" w:cs="Times New Roman"/>
          <w:sz w:val="22"/>
          <w:szCs w:val="22"/>
          <w:lang w:eastAsia="pt-BR"/>
        </w:rPr>
        <w:t>, não havendo a formalização de Instrumento de Contrato.</w:t>
      </w:r>
    </w:p>
    <w:p>
      <w:pPr>
        <w:pStyle w:val="60"/>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Na formalização da contratação deverá haver a indicação da disponibilidade dos créditos orçamentários respectivos.</w:t>
      </w:r>
    </w:p>
    <w:p>
      <w:pPr>
        <w:pStyle w:val="60"/>
        <w:numPr>
          <w:ilvl w:val="1"/>
          <w:numId w:val="16"/>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As contratações decorrentes do sistema de registro de preços poderão ser alteradas, observado o disposto no </w:t>
      </w:r>
      <w:r>
        <w:fldChar w:fldCharType="begin"/>
      </w:r>
      <w:r>
        <w:rPr>
          <w:rStyle w:val="54"/>
          <w:rFonts w:ascii="Times New Roman" w:hAnsi="Times New Roman"/>
          <w:sz w:val="22"/>
          <w:szCs w:val="22"/>
          <w:lang w:eastAsia="pt-BR"/>
        </w:rPr>
        <w:instrText xml:space="preserve"> HYPERLINK "https://www.planalto.gov.br/ccivil_03/_ato2019-2022/2021/lei/l14133.htm" \l "art124"</w:instrText>
      </w:r>
      <w:r>
        <w:rPr>
          <w:rStyle w:val="54"/>
          <w:rFonts w:ascii="Times New Roman" w:hAnsi="Times New Roman"/>
          <w:sz w:val="22"/>
          <w:szCs w:val="22"/>
          <w:lang w:eastAsia="pt-BR"/>
        </w:rPr>
        <w:fldChar w:fldCharType="separate"/>
      </w:r>
      <w:r>
        <w:rPr>
          <w:rStyle w:val="54"/>
          <w:rFonts w:ascii="Times New Roman" w:hAnsi="Times New Roman"/>
          <w:sz w:val="22"/>
          <w:szCs w:val="22"/>
          <w:lang w:eastAsia="pt-BR"/>
        </w:rPr>
        <w:t>arts. 124 a 136 da Lei Federal nº 14.133, de 2021</w:t>
      </w:r>
      <w:r>
        <w:rPr>
          <w:rStyle w:val="54"/>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0"/>
        <w:numPr>
          <w:ilvl w:val="0"/>
          <w:numId w:val="16"/>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ATRIBUIÇÕES DO GERENCIADOR DA ARP</w:t>
      </w:r>
    </w:p>
    <w:p>
      <w:pPr>
        <w:pStyle w:val="60"/>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GERENCIADOR promoverá o gerenciamento permanente e formal da presente ARP, inclusive com registro em processo administrativo de gestão de todas as contratações dela decorrentes, como também de todos os demais atos inerentes aos procedimentos de gestão.</w:t>
      </w:r>
    </w:p>
    <w:p>
      <w:pPr>
        <w:pStyle w:val="60"/>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Cabe ao setor ou servidor designado do ÓRGÃO GERENCIADOR, conforme regulamento operacional interno, as atribuições inerentes ao gerenciamento da presente ARP, particularmente quanto a(ao):</w:t>
      </w:r>
    </w:p>
    <w:p>
      <w:pPr>
        <w:pStyle w:val="60"/>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Providenciar a elaboração e publicação da presente ARP;</w:t>
      </w:r>
    </w:p>
    <w:p>
      <w:pPr>
        <w:pStyle w:val="60"/>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Encaminhar ao(s) órgão(s) e/ou entidade(s) participantes a presente ARP, como também suas eventuais e posteriores alterações, devidamente assinadas e publicadas;</w:t>
      </w:r>
    </w:p>
    <w:p>
      <w:pPr>
        <w:pStyle w:val="60"/>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Controlar, de forma permanente, a utilização da ARP para fins de contratações, durante toda sua vigência;</w:t>
      </w:r>
    </w:p>
    <w:p>
      <w:pPr>
        <w:pStyle w:val="60"/>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Receber, analisar, controlar e pronunciar-se quanto à(s) solicitação(ões) de contratação interna do ÓRGÃO GERENCIADOR com base na presente ARP, ou em relação à(s) solicitação(ões) de ADESÃO(ÕES) realizada(s) por órgão ou entidade não participante desta ARP, inclusive indicando providência(s) complementar(es) necessária(s) ou até recomendando o indeferimento fundamentado, observada a legislação vigente e a jurisprudência do TCU;</w:t>
      </w:r>
    </w:p>
    <w:p>
      <w:pPr>
        <w:pStyle w:val="60"/>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Emitir e encaminhar ofício formalizando a autorização para utilização da ARP por órgão ou entidade aderente, inclusive com a indicação do nome do fornecedor, quantitativos autorizados, valores unitários e totais, prazo de validade da autorização e demais condições de adesão;</w:t>
      </w:r>
    </w:p>
    <w:p>
      <w:pPr>
        <w:pStyle w:val="60"/>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Conduzir eventuais procedimentos de alterações dos preços registrados para fins de adequação às novas condições de mercado, observada a legislação vigente e jurisprudência do TCU;</w:t>
      </w:r>
    </w:p>
    <w:p>
      <w:pPr>
        <w:pStyle w:val="60"/>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Propor, conduzir e pronunciar-se nos procedimentos de eventuais reajustes e revisões de preços, como também de cancelamentos e rescisões de registro contidos na presente ARP, bem como realizar, nesses casos, a publicação das novas condições da ARP e comunicação aos órgãos e às entidades participantes;</w:t>
      </w:r>
    </w:p>
    <w:p>
      <w:pPr>
        <w:pStyle w:val="60"/>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Propor aplicação, garantida a ampla defesa e o contraditório, de sanções decorrentes do descumprimento das obrigações assumidas na ARP, ou até em relação ao descumprimento das obrigações contratuais, unicamente referentes às contratações realizadas pelo ÓRGÃO GERENCIADOR;</w:t>
      </w:r>
    </w:p>
    <w:p>
      <w:pPr>
        <w:pStyle w:val="60"/>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Receber e registrar as contratações efetivamente realizadas pelos órgãos ou entidades aderentes, bem como eventuais sanções por estes aplicadas ao(s) particular(es) contratado(s) por descumprimento das obrigações assumidas na presente ARP;</w:t>
      </w:r>
    </w:p>
    <w:p>
      <w:pPr>
        <w:pStyle w:val="60"/>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Instruir os autos de gestão da presente ARP.</w:t>
      </w:r>
    </w:p>
    <w:p>
      <w:pPr>
        <w:pStyle w:val="60"/>
        <w:numPr>
          <w:ilvl w:val="0"/>
          <w:numId w:val="16"/>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ATRIBUIÇÕES DO PARTICIPANTE</w:t>
      </w:r>
    </w:p>
    <w:p>
      <w:pPr>
        <w:pStyle w:val="60"/>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Ao órgão ou entidade PARTICIPANTE compete:</w:t>
      </w:r>
    </w:p>
    <w:p>
      <w:pPr>
        <w:pStyle w:val="60"/>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Tomar conhecimento da ARP, incluindo eventuais alterações, cancelamentos e revogações, a fim de utilizá-la de forma correta;</w:t>
      </w:r>
    </w:p>
    <w:p>
      <w:pPr>
        <w:pStyle w:val="60"/>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Verificar a conformidade das condições registradas na ARP junto ao mercado local, informando ao ÓRGÃO GERENCIADOR eventuais desvantagens verificadas para fins de renegociação ou cancelamento;</w:t>
      </w:r>
    </w:p>
    <w:p>
      <w:pPr>
        <w:pStyle w:val="60"/>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Observar e controlar o quantitativo máximo dos itens registrados em seu interesse, evitando contratações acima do limite permitido, bem como a utilização de itens diversos daqueles para os quais solicitou participação no certame;</w:t>
      </w:r>
    </w:p>
    <w:p>
      <w:pPr>
        <w:pStyle w:val="60"/>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Acompanhar e fiscalizar o fiel cumprimento das obrigações contidas no edital da licitação e na ARP, informando ao ÓRGÃO GERENCIADOR qualquer irregularidade ou inadimplemento do particular;</w:t>
      </w:r>
    </w:p>
    <w:p>
      <w:pPr>
        <w:pStyle w:val="60"/>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Aplicar, garantida a ampla defesa e o contraditório, as penalidades decorrentes do descumprimento das obrigações contratuais em relação às suas próprias contratações, informando as ocorrências ao ÓRGÃO GERENCIADOR.</w:t>
      </w:r>
    </w:p>
    <w:p>
      <w:pPr>
        <w:pStyle w:val="60"/>
        <w:numPr>
          <w:ilvl w:val="0"/>
          <w:numId w:val="16"/>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OBRIGAÇÕES DO FORNECEDOR</w:t>
      </w:r>
    </w:p>
    <w:p>
      <w:pPr>
        <w:pStyle w:val="60"/>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FORNECEDOR cujo preço conste registrado na presente ARP obriga-se a:</w:t>
      </w:r>
    </w:p>
    <w:p>
      <w:pPr>
        <w:pStyle w:val="60"/>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Retirar a respectiva nota de empenho no prazo máximo de 5 (cinco) dias úteis, contados da convocação;</w:t>
      </w:r>
    </w:p>
    <w:p>
      <w:pPr>
        <w:pStyle w:val="60"/>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Indicar, no prazo máximo de 5 (cinco) dias úteis, a concordância ou não em relação à(s) solicitação(ões) de adesão por órgão ou entidade da Administração Pública não participante, indicando expressamente que tal contratação não prejudicaria as obrigações presentes e futuras assumidas para com o ÓRGÃO GERENCIADOR e os participantes;</w:t>
      </w:r>
    </w:p>
    <w:p>
      <w:pPr>
        <w:pStyle w:val="60"/>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Observar rigorosamente todos as especificações técnicas, marcas, modelos, condições e prazos fixados no Termo de Referência integrante da presente ARP, como também na sua respectiva proposta de preços, ressalvado prova idônea da ocorrência superveniente de fato impeditivo ou dificultador do cumprimento da obrigação, devidamente aceito pelo ÓRGÃO GERENCIADOR, que justifique o fornecimento de bem de qualidade semelhante ou superior, ou a execução de forma diversa que resulte em igual ou superior resultado à contratante;</w:t>
      </w:r>
    </w:p>
    <w:p>
      <w:pPr>
        <w:pStyle w:val="60"/>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Respeitar as demais condições e obrigações contidas nesta ARP e no Edital e Anexos do Pregão nº 004/2024</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ressalvada a ocorrência de fato(s) superveniente(s), comprovados(s) e aceito(s) pelo ÓRGÃO GERENCIADOR;</w:t>
      </w:r>
    </w:p>
    <w:p>
      <w:pPr>
        <w:pStyle w:val="60"/>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Providenciar a imediata correção de deficiências, falhas ou irregularidades constatadas pela(s) CONTRATANTE(S) referentes às condições firmadas na presente ARP;</w:t>
      </w:r>
    </w:p>
    <w:p>
      <w:pPr>
        <w:pStyle w:val="60"/>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Fornecer, sempre que solicitado, no prazo máximo de 5 (cinco) dias úteis, documentação de habilitação e qualificação cujas validades encontrem-se vencidas;</w:t>
      </w:r>
    </w:p>
    <w:p>
      <w:pPr>
        <w:pStyle w:val="60"/>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Prover condições que possibilitem o atendimento das obrigações firmadas a partir da data de homologação do procedimento licitatório;</w:t>
      </w:r>
    </w:p>
    <w:p>
      <w:pPr>
        <w:pStyle w:val="60"/>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Ressarcir os eventuais prejuízos causados aos órgãos contratantes e/ou a terceiros, provocados por ineficiência ou irregularidades cometidas na execução das obrigações assumidas na ARP;</w:t>
      </w:r>
    </w:p>
    <w:p>
      <w:pPr>
        <w:pStyle w:val="60"/>
        <w:numPr>
          <w:ilvl w:val="2"/>
          <w:numId w:val="16"/>
        </w:numPr>
        <w:tabs>
          <w:tab w:val="left" w:pos="1276"/>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Responsabilizar-se pelos encargos trabalhistas, previdenciários, fiscais e comerciais resultantes da execução do contrato;</w:t>
      </w:r>
    </w:p>
    <w:p>
      <w:pPr>
        <w:pStyle w:val="60"/>
        <w:numPr>
          <w:ilvl w:val="2"/>
          <w:numId w:val="16"/>
        </w:numPr>
        <w:tabs>
          <w:tab w:val="left" w:pos="1276"/>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Manter, durante a vigência da presente ata, em compatibilidade com as obrigações assumidas na proposta, todas as condições de participação e de habilitação exigidas na licitação.</w:t>
      </w:r>
    </w:p>
    <w:p>
      <w:pPr>
        <w:pStyle w:val="60"/>
        <w:numPr>
          <w:ilvl w:val="0"/>
          <w:numId w:val="16"/>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CADASTRO RESERVA DE FORNECEDORES</w:t>
      </w:r>
    </w:p>
    <w:p>
      <w:pPr>
        <w:pStyle w:val="60"/>
        <w:numPr>
          <w:ilvl w:val="1"/>
          <w:numId w:val="16"/>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Conforme consta no ANEXO A, também fica FORMALIZADO, conjuntamente com a presente ARP, CADASTRO RESERVA de licitante(es) interessado(s) em eventualmente assumir a titularidade do registro de preços, havendo CANCELAMENTO da ARP e segundo a ordem de classificação final no certame, POR GRUPO DO OBJETO, nos termos fixados no </w:t>
      </w:r>
      <w:r>
        <w:fldChar w:fldCharType="begin"/>
      </w:r>
      <w:r>
        <w:rPr>
          <w:rStyle w:val="54"/>
          <w:rFonts w:ascii="Times New Roman" w:hAnsi="Times New Roman"/>
          <w:sz w:val="22"/>
          <w:szCs w:val="22"/>
          <w:lang w:eastAsia="pt-BR"/>
        </w:rPr>
        <w:instrText xml:space="preserve"> HYPERLINK "https://www.planalto.gov.br/ccivil_03/_ato2019-2022/2021/lei/l14133.htm" \l "art82"</w:instrText>
      </w:r>
      <w:r>
        <w:rPr>
          <w:rStyle w:val="54"/>
          <w:rFonts w:ascii="Times New Roman" w:hAnsi="Times New Roman"/>
          <w:sz w:val="22"/>
          <w:szCs w:val="22"/>
          <w:lang w:eastAsia="pt-BR"/>
        </w:rPr>
        <w:fldChar w:fldCharType="separate"/>
      </w:r>
      <w:r>
        <w:rPr>
          <w:rStyle w:val="54"/>
          <w:rFonts w:ascii="Times New Roman" w:hAnsi="Times New Roman"/>
          <w:sz w:val="22"/>
          <w:szCs w:val="22"/>
          <w:lang w:eastAsia="pt-BR"/>
        </w:rPr>
        <w:t>art. 82, VII, e § 5º, VI, da Lei Federal nº 14.133, de 2021</w:t>
      </w:r>
      <w:r>
        <w:rPr>
          <w:rStyle w:val="54"/>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0"/>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formação de CADASTRO RESERVA vincula o(s) licitante(s) ao(s) preço(s) da proposta do titular, obrigando-se a assumir a titularidade em caso de cancelamento do registro do titular, observada a ORDEM DE CLASSIFICAÇÃO.</w:t>
      </w:r>
    </w:p>
    <w:p>
      <w:pPr>
        <w:pStyle w:val="60"/>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alteração da titularidade do registro dependerá da comprovação das condições de participação do particular registrado no cadastro reserva, da avaliação da qualidade do objeto indicado na sua proposta e do cumprimento das condições de habilitação, nos termos fixados no edital do certame.</w:t>
      </w:r>
    </w:p>
    <w:p>
      <w:pPr>
        <w:pStyle w:val="60"/>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Caberá ao agente de contratação responsável pelo julgamento do certame para seleção do titular da presente ARP realizar o procedimento de análise dos critérios indicados no item anterior.</w:t>
      </w:r>
    </w:p>
    <w:p>
      <w:pPr>
        <w:pStyle w:val="60"/>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Havendo alteração da titularidade do registro com base no CADASTRO RESERVA, deverá a ARP ser republicada para fins de eficácia.</w:t>
      </w:r>
    </w:p>
    <w:p>
      <w:pPr>
        <w:pStyle w:val="60"/>
        <w:numPr>
          <w:ilvl w:val="0"/>
          <w:numId w:val="16"/>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PUBLICIDADE E DIVULGAÇÃO</w:t>
      </w:r>
    </w:p>
    <w:p>
      <w:pPr>
        <w:pStyle w:val="60"/>
        <w:numPr>
          <w:ilvl w:val="1"/>
          <w:numId w:val="16"/>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A formalização da ARP, como também suas possíveis alterações, prorrogações, cancelamento e rescisões, serão publicados e divulgados no PNCP - Portal Nacional de Contratações Públicas (</w:t>
      </w:r>
      <w:r>
        <w:fldChar w:fldCharType="begin"/>
      </w:r>
      <w:r>
        <w:instrText xml:space="preserve"> HYPERLINK "https://pncp.gov.br/" \h </w:instrText>
      </w:r>
      <w:r>
        <w:fldChar w:fldCharType="separate"/>
      </w:r>
      <w:r>
        <w:rPr>
          <w:rStyle w:val="54"/>
          <w:rFonts w:ascii="Times New Roman" w:hAnsi="Times New Roman"/>
          <w:sz w:val="22"/>
          <w:szCs w:val="22"/>
          <w:lang w:eastAsia="pt-BR"/>
        </w:rPr>
        <w:t>https://pncp.gov.br/</w:t>
      </w:r>
      <w:r>
        <w:rPr>
          <w:rStyle w:val="54"/>
          <w:rFonts w:ascii="Times New Roman" w:hAnsi="Times New Roman"/>
          <w:sz w:val="22"/>
          <w:szCs w:val="22"/>
          <w:lang w:eastAsia="pt-BR"/>
        </w:rPr>
        <w:fldChar w:fldCharType="end"/>
      </w:r>
      <w:r>
        <w:rPr>
          <w:rFonts w:ascii="Times New Roman" w:hAnsi="Times New Roman" w:cs="Times New Roman"/>
          <w:sz w:val="22"/>
          <w:szCs w:val="22"/>
          <w:lang w:eastAsia="pt-BR"/>
        </w:rPr>
        <w:t xml:space="preserve">), bem como, em forma de extrato, no </w:t>
      </w:r>
      <w:r>
        <w:fldChar w:fldCharType="begin"/>
      </w:r>
      <w:r>
        <w:instrText xml:space="preserve"> HYPERLINK "https://www.in.gov.br/servicos/diario-oficial-da-uniao" \h </w:instrText>
      </w:r>
      <w:r>
        <w:fldChar w:fldCharType="separate"/>
      </w:r>
      <w:r>
        <w:rPr>
          <w:rStyle w:val="54"/>
          <w:rFonts w:ascii="Times New Roman" w:hAnsi="Times New Roman"/>
          <w:sz w:val="22"/>
          <w:szCs w:val="22"/>
          <w:lang w:eastAsia="pt-BR"/>
        </w:rPr>
        <w:t>Diário Oficial</w:t>
      </w:r>
      <w:r>
        <w:rPr>
          <w:rStyle w:val="54"/>
          <w:rFonts w:ascii="Times New Roman" w:hAnsi="Times New Roman"/>
          <w:sz w:val="22"/>
          <w:szCs w:val="22"/>
          <w:lang w:eastAsia="pt-BR"/>
        </w:rPr>
        <w:fldChar w:fldCharType="end"/>
      </w:r>
      <w:r>
        <w:rPr>
          <w:rFonts w:ascii="Times New Roman" w:hAnsi="Times New Roman" w:cs="Times New Roman"/>
          <w:sz w:val="22"/>
          <w:szCs w:val="22"/>
        </w:rPr>
        <w:t>.</w:t>
      </w:r>
    </w:p>
    <w:p>
      <w:pPr>
        <w:pStyle w:val="60"/>
        <w:numPr>
          <w:ilvl w:val="1"/>
          <w:numId w:val="16"/>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Todas as informações do presente registro de preço serão também disponibilizadas, durante sua vigência, no site do ÓRGÃO GERENCIADOR na Internet (</w:t>
      </w:r>
      <w:r>
        <w:fldChar w:fldCharType="begin"/>
      </w:r>
      <w:r>
        <w:instrText xml:space="preserve"> HYPERLINK "https://www.primaveradoleste.mt.leg.br/" \h </w:instrText>
      </w:r>
      <w:r>
        <w:fldChar w:fldCharType="separate"/>
      </w:r>
      <w:r>
        <w:rPr>
          <w:rStyle w:val="54"/>
          <w:rFonts w:ascii="Times New Roman" w:hAnsi="Times New Roman"/>
          <w:sz w:val="22"/>
          <w:szCs w:val="22"/>
        </w:rPr>
        <w:t>https://www.primaveradoleste.mt.leg.br/</w:t>
      </w:r>
      <w:r>
        <w:rPr>
          <w:rStyle w:val="54"/>
          <w:rFonts w:ascii="Times New Roman" w:hAnsi="Times New Roman"/>
          <w:sz w:val="22"/>
          <w:szCs w:val="22"/>
        </w:rPr>
        <w:fldChar w:fldCharType="end"/>
      </w:r>
      <w:r>
        <w:rPr>
          <w:rFonts w:ascii="Times New Roman" w:hAnsi="Times New Roman" w:cs="Times New Roman"/>
          <w:sz w:val="22"/>
          <w:szCs w:val="22"/>
        </w:rPr>
        <w:t>)</w:t>
      </w:r>
      <w:r>
        <w:rPr>
          <w:rFonts w:ascii="Times New Roman" w:hAnsi="Times New Roman" w:cs="Times New Roman"/>
          <w:sz w:val="22"/>
          <w:szCs w:val="22"/>
          <w:lang w:eastAsia="pt-BR"/>
        </w:rPr>
        <w:t>, inclusive com a íntegra da ARP e alterações posteriores.</w:t>
      </w:r>
    </w:p>
    <w:p>
      <w:pPr>
        <w:pStyle w:val="60"/>
        <w:numPr>
          <w:ilvl w:val="0"/>
          <w:numId w:val="16"/>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ALTERAÇÕES DOS PREÇOS REGISTRADOS</w:t>
      </w:r>
    </w:p>
    <w:p>
      <w:pPr>
        <w:pStyle w:val="60"/>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Salvo negociação entre o órgão gerenciador e o(s) fornecedor(es), os preços registrados serão REAJUSTADOS automaticamente, para mais ou para menos, com base na variação anual do Índice Nacional de Preços ao Consumidor - INPC - do Instituto Brasileiro de Geografia e Estatística - IBGE, ou outro índice que venha a sucedê-lo, desde que decorridos 12 (doze) meses, contados da assinatura da ARP, de acordo com a seguinte fórmula:</w:t>
      </w:r>
    </w:p>
    <w:p>
      <w:pPr>
        <w:pStyle w:val="3"/>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rPr>
        <w:t>PR = PI x IR</w:t>
      </w:r>
    </w:p>
    <w:p>
      <w:pPr>
        <w:pStyle w:val="3"/>
        <w:tabs>
          <w:tab w:val="left" w:pos="1134"/>
        </w:tabs>
        <w:spacing w:before="120" w:beforeAutospacing="0" w:after="120" w:afterAutospacing="0"/>
        <w:ind w:left="567"/>
        <w:jc w:val="both"/>
        <w:textAlignment w:val="baseline"/>
        <w:rPr>
          <w:rFonts w:ascii="Times New Roman" w:hAnsi="Times New Roman"/>
          <w:sz w:val="22"/>
          <w:szCs w:val="22"/>
        </w:rPr>
      </w:pPr>
      <w:r>
        <w:rPr>
          <w:color w:val="000000" w:themeColor="text1"/>
          <w:sz w:val="22"/>
          <w:szCs w:val="22"/>
        </w:rPr>
        <w:t>Onde:</w:t>
      </w:r>
    </w:p>
    <w:p>
      <w:pPr>
        <w:pStyle w:val="3"/>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rPr>
        <w:t>PR</w:t>
      </w:r>
      <w:r>
        <w:rPr>
          <w:color w:val="000000" w:themeColor="text1"/>
          <w:sz w:val="22"/>
          <w:szCs w:val="22"/>
        </w:rPr>
        <w:t xml:space="preserve"> = Preço reajustado </w:t>
      </w:r>
    </w:p>
    <w:p>
      <w:pPr>
        <w:pStyle w:val="3"/>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rPr>
        <w:t>PI</w:t>
      </w:r>
      <w:r>
        <w:rPr>
          <w:color w:val="000000" w:themeColor="text1"/>
          <w:sz w:val="22"/>
          <w:szCs w:val="22"/>
        </w:rPr>
        <w:t xml:space="preserve"> = Preço inicial da Ata de Registro de Preços</w:t>
      </w:r>
    </w:p>
    <w:p>
      <w:pPr>
        <w:pStyle w:val="3"/>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rPr>
        <w:t xml:space="preserve">IR </w:t>
      </w:r>
      <w:r>
        <w:rPr>
          <w:color w:val="000000" w:themeColor="text1"/>
          <w:sz w:val="22"/>
          <w:szCs w:val="22"/>
        </w:rPr>
        <w:t>= Índice de reajuste</w:t>
      </w:r>
    </w:p>
    <w:p>
      <w:pPr>
        <w:pStyle w:val="60"/>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Na hipótese de reajuste, a contratada será consultada sobre a possibilidade de renúncia ao reajuste previsto antes da formalização da prorrogação, cabendo à Administração decidir sobre o interesse na prorrogação em caso de reajuste.</w:t>
      </w:r>
    </w:p>
    <w:p>
      <w:pPr>
        <w:pStyle w:val="60"/>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qualquer tempo, o preço registrado poderá sofrer REVISÃO em decorrência de comprovado desequilíbrio econômico-financeiro ocorrida no mercado, para restabelecer o equilíbrio econômico-financeiro inicial, em caso de força maior, caso fortuito ou fato do príncipe ou em decorrência de fatos imprevisíveis ou previsíveis de consequências incalculáveis, que inviabilizem a execução da contratação tal como pactuado, deverá ser formulado durante a vigência da presente Ata e antes de eventual prorrogação.</w:t>
      </w:r>
    </w:p>
    <w:p>
      <w:pPr>
        <w:pStyle w:val="60"/>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Do mesmo modo, à Administração pode solicitar a REVISÃO dos preços registrados em caso de desequilíbrio econômico-financeiro em seu desfavor.</w:t>
      </w:r>
    </w:p>
    <w:p>
      <w:pPr>
        <w:pStyle w:val="60"/>
        <w:numPr>
          <w:ilvl w:val="1"/>
          <w:numId w:val="16"/>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w:t>
      </w:r>
      <w:r>
        <w:fldChar w:fldCharType="begin"/>
      </w:r>
      <w:r>
        <w:rPr>
          <w:rStyle w:val="54"/>
          <w:rFonts w:ascii="Times New Roman" w:hAnsi="Times New Roman"/>
          <w:sz w:val="22"/>
          <w:szCs w:val="22"/>
          <w:lang w:eastAsia="pt-BR"/>
        </w:rPr>
        <w:instrText xml:space="preserve"> HYPERLINK "https://www.planalto.gov.br/ccivil_03/_ato2019-2022/2021/lei/l14133.htm" \l "art124"</w:instrText>
      </w:r>
      <w:r>
        <w:rPr>
          <w:rStyle w:val="54"/>
          <w:rFonts w:ascii="Times New Roman" w:hAnsi="Times New Roman"/>
          <w:sz w:val="22"/>
          <w:szCs w:val="22"/>
          <w:lang w:eastAsia="pt-BR"/>
        </w:rPr>
        <w:fldChar w:fldCharType="separate"/>
      </w:r>
      <w:r>
        <w:rPr>
          <w:rStyle w:val="54"/>
          <w:rFonts w:ascii="Times New Roman" w:hAnsi="Times New Roman"/>
          <w:sz w:val="22"/>
          <w:szCs w:val="22"/>
          <w:lang w:eastAsia="pt-BR"/>
        </w:rPr>
        <w:t>art. 124 da Lei Federal nº 14.133, de 2021</w:t>
      </w:r>
      <w:r>
        <w:rPr>
          <w:rStyle w:val="54"/>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0"/>
        <w:numPr>
          <w:ilvl w:val="1"/>
          <w:numId w:val="16"/>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Caberá a parte prejudicada a demonstração do impacto efetivo nos custos em decorrência da álea econômica extraordinária havida no mercado, não cabendo revisão de preços em casos de variação inflacionária ordinária, observando-se as regras previstas no </w:t>
      </w:r>
      <w:r>
        <w:fldChar w:fldCharType="begin"/>
      </w:r>
      <w:r>
        <w:rPr>
          <w:rStyle w:val="54"/>
          <w:rFonts w:ascii="Times New Roman" w:hAnsi="Times New Roman"/>
          <w:sz w:val="22"/>
          <w:szCs w:val="22"/>
          <w:lang w:eastAsia="pt-BR"/>
        </w:rPr>
        <w:instrText xml:space="preserve"> HYPERLINK "https://www.planalto.gov.br/ccivil_03/_ato2019-2022/2021/lei/l14133.htm" \l "art124"</w:instrText>
      </w:r>
      <w:r>
        <w:rPr>
          <w:rStyle w:val="54"/>
          <w:rFonts w:ascii="Times New Roman" w:hAnsi="Times New Roman"/>
          <w:sz w:val="22"/>
          <w:szCs w:val="22"/>
          <w:lang w:eastAsia="pt-BR"/>
        </w:rPr>
        <w:fldChar w:fldCharType="separate"/>
      </w:r>
      <w:r>
        <w:rPr>
          <w:rStyle w:val="54"/>
          <w:rFonts w:ascii="Times New Roman" w:hAnsi="Times New Roman"/>
          <w:sz w:val="22"/>
          <w:szCs w:val="22"/>
          <w:lang w:eastAsia="pt-BR"/>
        </w:rPr>
        <w:t>art. 124 da Lei Federal nº 14.133/2021</w:t>
      </w:r>
      <w:r>
        <w:rPr>
          <w:rStyle w:val="54"/>
          <w:rFonts w:ascii="Times New Roman" w:hAnsi="Times New Roman"/>
          <w:sz w:val="22"/>
          <w:szCs w:val="22"/>
          <w:lang w:eastAsia="pt-BR"/>
        </w:rPr>
        <w:fldChar w:fldCharType="end"/>
      </w:r>
      <w:r>
        <w:rPr>
          <w:rFonts w:ascii="Times New Roman" w:hAnsi="Times New Roman" w:cs="Times New Roman"/>
          <w:sz w:val="22"/>
          <w:szCs w:val="22"/>
          <w:lang w:eastAsia="pt-BR"/>
        </w:rPr>
        <w:t>, e nos seguintes casos:</w:t>
      </w:r>
    </w:p>
    <w:p>
      <w:pPr>
        <w:pStyle w:val="60"/>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ausência de comprovação da elevação dos encargos do particular;</w:t>
      </w:r>
    </w:p>
    <w:p>
      <w:pPr>
        <w:pStyle w:val="60"/>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ocorrência de evento antes da formulação das propostas;</w:t>
      </w:r>
    </w:p>
    <w:p>
      <w:pPr>
        <w:pStyle w:val="60"/>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ausência de vínculo de causalidade entre o evento ocorrido e a majoração dos encargos do fornecedor;</w:t>
      </w:r>
    </w:p>
    <w:p>
      <w:pPr>
        <w:pStyle w:val="60"/>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culpa do fornecedor pela majoração dos seus encargos (o que inclui a previsibilidade da ocorrência do evento).</w:t>
      </w:r>
    </w:p>
    <w:p>
      <w:pPr>
        <w:pStyle w:val="60"/>
        <w:numPr>
          <w:ilvl w:val="1"/>
          <w:numId w:val="16"/>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Na hipótese de não comprovação da existência de fato superveniente que inviabilize o preço registrado, o pedido será indeferido pelo órgão gerenciador e o fornecedor deverá cumprir as obrigações estabelecidas na ARP, sob pena de cancelamento do seu registro, sem prejuízo das sanções previstas no </w:t>
      </w:r>
      <w:r>
        <w:fldChar w:fldCharType="begin"/>
      </w:r>
      <w:r>
        <w:rPr>
          <w:rStyle w:val="54"/>
          <w:rFonts w:ascii="Times New Roman" w:hAnsi="Times New Roman"/>
          <w:sz w:val="22"/>
          <w:szCs w:val="22"/>
          <w:lang w:eastAsia="pt-BR"/>
        </w:rPr>
        <w:instrText xml:space="preserve"> HYPERLINK "https://www.planalto.gov.br/ccivil_03/_ato2019-2022/2021/lei/l14133.htm" \l "art156"</w:instrText>
      </w:r>
      <w:r>
        <w:rPr>
          <w:rStyle w:val="54"/>
          <w:rFonts w:ascii="Times New Roman" w:hAnsi="Times New Roman"/>
          <w:sz w:val="22"/>
          <w:szCs w:val="22"/>
          <w:lang w:eastAsia="pt-BR"/>
        </w:rPr>
        <w:fldChar w:fldCharType="separate"/>
      </w:r>
      <w:r>
        <w:rPr>
          <w:rStyle w:val="54"/>
          <w:rFonts w:ascii="Times New Roman" w:hAnsi="Times New Roman"/>
          <w:sz w:val="22"/>
          <w:szCs w:val="22"/>
          <w:lang w:eastAsia="pt-BR"/>
        </w:rPr>
        <w:t>art. 156 da Lei Federal nº 14.133, de 2021</w:t>
      </w:r>
      <w:r>
        <w:rPr>
          <w:rStyle w:val="54"/>
          <w:rFonts w:ascii="Times New Roman" w:hAnsi="Times New Roman"/>
          <w:sz w:val="22"/>
          <w:szCs w:val="22"/>
          <w:lang w:eastAsia="pt-BR"/>
        </w:rPr>
        <w:fldChar w:fldCharType="end"/>
      </w:r>
      <w:r>
        <w:rPr>
          <w:rFonts w:ascii="Times New Roman" w:hAnsi="Times New Roman" w:cs="Times New Roman"/>
          <w:sz w:val="22"/>
          <w:szCs w:val="22"/>
          <w:lang w:eastAsia="pt-BR"/>
        </w:rPr>
        <w:t>, e na legislação aplicável</w:t>
      </w:r>
      <w:bookmarkStart w:id="67" w:name="nao_comprovacao_majoracao_mercado"/>
      <w:bookmarkEnd w:id="67"/>
      <w:r>
        <w:rPr>
          <w:rFonts w:ascii="Times New Roman" w:hAnsi="Times New Roman" w:cs="Times New Roman"/>
          <w:sz w:val="22"/>
          <w:szCs w:val="22"/>
          <w:lang w:eastAsia="pt-BR"/>
        </w:rPr>
        <w:t>, mantendo-se hígidas e vigentes as contratações já formalizadas ou solicitadas, bem como os demais itens/grupos não afetados pelo requerido desequilíbrio de preços de mercado.</w:t>
      </w:r>
    </w:p>
    <w:p>
      <w:pPr>
        <w:pStyle w:val="60"/>
        <w:numPr>
          <w:ilvl w:val="1"/>
          <w:numId w:val="16"/>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Em caso do CANCELAMENTO, e havendo CADASTRO RESERVA para o respectivo ITEM/GRUPO, o órgão gerenciador convocará o(s) fornecedor(es) do cadastro de reserva, na ordem de classificação, para verificar se aceita(m) manter seu(s) preço(s) registrado(s).</w:t>
      </w:r>
    </w:p>
    <w:p>
      <w:pPr>
        <w:pStyle w:val="60"/>
        <w:numPr>
          <w:ilvl w:val="1"/>
          <w:numId w:val="16"/>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Toda alteração da presente ARP será publicada e divulgada, nos termos fixados no item 11 desta ARP.</w:t>
      </w:r>
    </w:p>
    <w:p>
      <w:pPr>
        <w:pStyle w:val="60"/>
        <w:numPr>
          <w:ilvl w:val="0"/>
          <w:numId w:val="16"/>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REMANEJAMENTO DAS QUANTIDADES REGISTRADAS NA ARP</w:t>
      </w:r>
    </w:p>
    <w:p>
      <w:pPr>
        <w:pStyle w:val="60"/>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As quantidades previstas para os itens com preços registrados nas atas de registro de preços poderão ser remanejadas pelo órgão gerenciador entre os órgãos ou as entidades participantes e não participantes do registro de preços.</w:t>
      </w:r>
    </w:p>
    <w:p>
      <w:pPr>
        <w:pStyle w:val="60"/>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 O remanejamento somente poderá ser feito:</w:t>
      </w:r>
    </w:p>
    <w:p>
      <w:pPr>
        <w:pStyle w:val="60"/>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 órgão ou entidade participante para órgão ou entidade participante; ou</w:t>
      </w:r>
    </w:p>
    <w:p>
      <w:pPr>
        <w:pStyle w:val="60"/>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 órgão ou entidade participante para órgão ou entidade não participante.</w:t>
      </w:r>
    </w:p>
    <w:p>
      <w:pPr>
        <w:pStyle w:val="60"/>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órgão gerenciador que tiver estimado as quantidades que pretende contratar será considerado participante para efeito do remanejamento.</w:t>
      </w:r>
      <w:bookmarkStart w:id="68" w:name="gerenciador_estimador_é_partic_em_remane"/>
      <w:bookmarkEnd w:id="68"/>
    </w:p>
    <w:p>
      <w:pPr>
        <w:pStyle w:val="60"/>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shd w:val="clear" w:fill="auto"/>
          <w:lang w:eastAsia="pt-BR"/>
        </w:rPr>
        <w:t>Na hipótese de remanejamento de órgão ou entidade participante para órgão ou entidade não participante, serão observados os limites previstos nas Leis nº 14.133 de 2021 e nº 14.770 de 2023.</w:t>
      </w:r>
    </w:p>
    <w:p>
      <w:pPr>
        <w:pStyle w:val="60"/>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shd w:val="clear" w:fill="auto"/>
          <w:lang w:eastAsia="pt-BR"/>
        </w:rPr>
        <w:t>Competirá</w:t>
      </w:r>
      <w:r>
        <w:rPr>
          <w:rFonts w:ascii="Times New Roman" w:hAnsi="Times New Roman" w:cs="Times New Roman"/>
          <w:sz w:val="22"/>
          <w:szCs w:val="22"/>
          <w:lang w:eastAsia="pt-BR"/>
        </w:rPr>
        <w:t xml:space="preserve"> ao órgão gerenciador autorizar o remanejamento solicitado, com a redução do quantitativo inicialmente informado pelo órgão ou pela entidade participante, desde que haja prévia anuência do órgão ou da entidade que sofrer redução dos quantitativos informados.</w:t>
      </w:r>
    </w:p>
    <w:p>
      <w:pPr>
        <w:pStyle w:val="60"/>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pPr>
        <w:pStyle w:val="60"/>
        <w:numPr>
          <w:ilvl w:val="0"/>
          <w:numId w:val="16"/>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CANCELAMENTO DO REGISTRO DO LICITANTE VENCEDOR E DOS PREÇOS REGISTRADOS</w:t>
      </w:r>
    </w:p>
    <w:p>
      <w:pPr>
        <w:pStyle w:val="60"/>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registro do fornecedor será cancelado pelo gerenciador, quando o fornecedor:</w:t>
      </w:r>
      <w:bookmarkStart w:id="69" w:name="cancelamento_do_fornecedor"/>
      <w:bookmarkEnd w:id="69"/>
    </w:p>
    <w:p>
      <w:pPr>
        <w:pStyle w:val="60"/>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Descumprir as condições da ata de registro de preços, sem motivo justificado;</w:t>
      </w:r>
    </w:p>
    <w:p>
      <w:pPr>
        <w:pStyle w:val="60"/>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retirar a nota de empenho, ou instrumento equivalente, no prazo estabelecido pela Administração sem justificativa razoável;</w:t>
      </w:r>
    </w:p>
    <w:p>
      <w:pPr>
        <w:pStyle w:val="60"/>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aceitar manter seu preço registrado;</w:t>
      </w:r>
    </w:p>
    <w:p>
      <w:pPr>
        <w:pStyle w:val="60"/>
        <w:numPr>
          <w:ilvl w:val="2"/>
          <w:numId w:val="16"/>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 xml:space="preserve"> Sofrer sanção prevista no </w:t>
      </w:r>
      <w:r>
        <w:fldChar w:fldCharType="begin"/>
      </w:r>
      <w:r>
        <w:rPr>
          <w:rStyle w:val="54"/>
          <w:rFonts w:ascii="Times New Roman" w:hAnsi="Times New Roman"/>
          <w:sz w:val="22"/>
          <w:szCs w:val="22"/>
          <w:lang w:eastAsia="pt-BR"/>
        </w:rPr>
        <w:instrText xml:space="preserve"> HYPERLINK "https://www.planalto.gov.br/ccivil_03/_ato2019-2022/2021/lei/l14133.htm" \l "art156"</w:instrText>
      </w:r>
      <w:r>
        <w:rPr>
          <w:rStyle w:val="54"/>
          <w:rFonts w:ascii="Times New Roman" w:hAnsi="Times New Roman"/>
          <w:sz w:val="22"/>
          <w:szCs w:val="22"/>
          <w:lang w:eastAsia="pt-BR"/>
        </w:rPr>
        <w:fldChar w:fldCharType="separate"/>
      </w:r>
      <w:r>
        <w:rPr>
          <w:rStyle w:val="54"/>
          <w:rFonts w:ascii="Times New Roman" w:hAnsi="Times New Roman"/>
          <w:sz w:val="22"/>
          <w:szCs w:val="22"/>
          <w:lang w:eastAsia="pt-BR"/>
        </w:rPr>
        <w:t xml:space="preserve">inciso III do </w:t>
      </w:r>
      <w:r>
        <w:rPr>
          <w:rStyle w:val="54"/>
          <w:rFonts w:ascii="Times New Roman" w:hAnsi="Times New Roman"/>
          <w:sz w:val="22"/>
          <w:szCs w:val="22"/>
          <w:lang w:eastAsia="pt-BR"/>
        </w:rPr>
        <w:fldChar w:fldCharType="end"/>
      </w:r>
      <w:r>
        <w:rPr>
          <w:rStyle w:val="54"/>
          <w:rFonts w:ascii="Times New Roman" w:hAnsi="Times New Roman"/>
          <w:i/>
          <w:iCs/>
          <w:sz w:val="22"/>
          <w:szCs w:val="22"/>
          <w:lang w:eastAsia="pt-BR"/>
        </w:rPr>
        <w:t>caput</w:t>
      </w:r>
      <w:r>
        <w:rPr>
          <w:rStyle w:val="54"/>
          <w:rFonts w:ascii="Times New Roman" w:hAnsi="Times New Roman"/>
          <w:sz w:val="22"/>
          <w:szCs w:val="22"/>
          <w:lang w:eastAsia="pt-BR"/>
        </w:rPr>
        <w:t xml:space="preserve"> do art. 156 da Lei Federal nº 14.133, de 2021</w:t>
      </w:r>
      <w:r>
        <w:rPr>
          <w:rFonts w:ascii="Times New Roman" w:hAnsi="Times New Roman" w:cs="Times New Roman"/>
          <w:sz w:val="22"/>
          <w:szCs w:val="22"/>
          <w:lang w:eastAsia="pt-BR"/>
        </w:rPr>
        <w:t>, aplicada por qualquer órgão da União Federal (</w:t>
      </w:r>
      <w:r>
        <w:fldChar w:fldCharType="begin"/>
      </w:r>
      <w:r>
        <w:rPr>
          <w:rStyle w:val="54"/>
          <w:rFonts w:ascii="Times New Roman" w:hAnsi="Times New Roman"/>
          <w:sz w:val="22"/>
          <w:szCs w:val="22"/>
          <w:lang w:eastAsia="pt-BR"/>
        </w:rPr>
        <w:instrText xml:space="preserve"> HYPERLINK "https://www.planalto.gov.br/ccivil_03/_ato2019-2022/2021/lei/l14133.htm" \l "art156"</w:instrText>
      </w:r>
      <w:r>
        <w:rPr>
          <w:rStyle w:val="54"/>
          <w:rFonts w:ascii="Times New Roman" w:hAnsi="Times New Roman"/>
          <w:sz w:val="22"/>
          <w:szCs w:val="22"/>
          <w:lang w:eastAsia="pt-BR"/>
        </w:rPr>
        <w:fldChar w:fldCharType="separate"/>
      </w:r>
      <w:r>
        <w:rPr>
          <w:rStyle w:val="54"/>
          <w:rFonts w:ascii="Times New Roman" w:hAnsi="Times New Roman"/>
          <w:sz w:val="22"/>
          <w:szCs w:val="22"/>
          <w:lang w:eastAsia="pt-BR"/>
        </w:rPr>
        <w:t>art. 156, § 4º, da Lei Federal nº 14.133, de 2021</w:t>
      </w:r>
      <w:r>
        <w:rPr>
          <w:rStyle w:val="54"/>
          <w:rFonts w:ascii="Times New Roman" w:hAnsi="Times New Roman"/>
          <w:sz w:val="22"/>
          <w:szCs w:val="22"/>
          <w:lang w:eastAsia="pt-BR"/>
        </w:rPr>
        <w:fldChar w:fldCharType="end"/>
      </w:r>
      <w:r>
        <w:rPr>
          <w:rFonts w:ascii="Times New Roman" w:hAnsi="Times New Roman" w:cs="Times New Roman"/>
          <w:sz w:val="22"/>
          <w:szCs w:val="22"/>
          <w:lang w:eastAsia="pt-BR"/>
        </w:rPr>
        <w:t>); ou</w:t>
      </w:r>
    </w:p>
    <w:p>
      <w:pPr>
        <w:pStyle w:val="60"/>
        <w:numPr>
          <w:ilvl w:val="2"/>
          <w:numId w:val="16"/>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 xml:space="preserve">Sofrer sanção prevista no </w:t>
      </w:r>
      <w:r>
        <w:fldChar w:fldCharType="begin"/>
      </w:r>
      <w:r>
        <w:rPr>
          <w:rStyle w:val="54"/>
          <w:rFonts w:ascii="Times New Roman" w:hAnsi="Times New Roman"/>
          <w:sz w:val="22"/>
          <w:szCs w:val="22"/>
          <w:lang w:eastAsia="pt-BR"/>
        </w:rPr>
        <w:instrText xml:space="preserve"> HYPERLINK "https://www.planalto.gov.br/ccivil_03/_ato2019-2022/2021/lei/l14133.htm" \l "art156"</w:instrText>
      </w:r>
      <w:r>
        <w:rPr>
          <w:rStyle w:val="54"/>
          <w:rFonts w:ascii="Times New Roman" w:hAnsi="Times New Roman"/>
          <w:sz w:val="22"/>
          <w:szCs w:val="22"/>
          <w:lang w:eastAsia="pt-BR"/>
        </w:rPr>
        <w:fldChar w:fldCharType="separate"/>
      </w:r>
      <w:r>
        <w:rPr>
          <w:rStyle w:val="54"/>
          <w:rFonts w:ascii="Times New Roman" w:hAnsi="Times New Roman"/>
          <w:sz w:val="22"/>
          <w:szCs w:val="22"/>
          <w:lang w:eastAsia="pt-BR"/>
        </w:rPr>
        <w:t xml:space="preserve">inciso IV do </w:t>
      </w:r>
      <w:r>
        <w:rPr>
          <w:rStyle w:val="54"/>
          <w:rFonts w:ascii="Times New Roman" w:hAnsi="Times New Roman"/>
          <w:sz w:val="22"/>
          <w:szCs w:val="22"/>
          <w:lang w:eastAsia="pt-BR"/>
        </w:rPr>
        <w:fldChar w:fldCharType="end"/>
      </w:r>
      <w:r>
        <w:rPr>
          <w:rStyle w:val="54"/>
          <w:rFonts w:ascii="Times New Roman" w:hAnsi="Times New Roman"/>
          <w:i/>
          <w:iCs/>
          <w:sz w:val="22"/>
          <w:szCs w:val="22"/>
          <w:lang w:eastAsia="pt-BR"/>
        </w:rPr>
        <w:t>caput</w:t>
      </w:r>
      <w:r>
        <w:rPr>
          <w:rStyle w:val="54"/>
          <w:rFonts w:ascii="Times New Roman" w:hAnsi="Times New Roman"/>
          <w:sz w:val="22"/>
          <w:szCs w:val="22"/>
          <w:lang w:eastAsia="pt-BR"/>
        </w:rPr>
        <w:t xml:space="preserve"> do art. 156 da Lei Federal nº 14.133, de 2021</w:t>
      </w:r>
      <w:r>
        <w:rPr>
          <w:rFonts w:ascii="Times New Roman" w:hAnsi="Times New Roman" w:cs="Times New Roman"/>
          <w:sz w:val="22"/>
          <w:szCs w:val="22"/>
          <w:lang w:eastAsia="pt-BR"/>
        </w:rPr>
        <w:t>, no caso de declaração de inidoneidade para contratar com a Administração Pública.</w:t>
      </w:r>
    </w:p>
    <w:p>
      <w:pPr>
        <w:pStyle w:val="60"/>
        <w:numPr>
          <w:ilvl w:val="1"/>
          <w:numId w:val="16"/>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Na hipótese de aplicação de sanção prevista nos </w:t>
      </w:r>
      <w:r>
        <w:fldChar w:fldCharType="begin"/>
      </w:r>
      <w:r>
        <w:rPr>
          <w:rStyle w:val="54"/>
          <w:rFonts w:ascii="Times New Roman" w:hAnsi="Times New Roman"/>
          <w:sz w:val="22"/>
          <w:szCs w:val="22"/>
          <w:lang w:eastAsia="pt-BR"/>
        </w:rPr>
        <w:instrText xml:space="preserve"> HYPERLINK "https://www.planalto.gov.br/ccivil_03/_ato2019-2022/2021/lei/l14133.htm" \l "art156"</w:instrText>
      </w:r>
      <w:r>
        <w:rPr>
          <w:rStyle w:val="54"/>
          <w:rFonts w:ascii="Times New Roman" w:hAnsi="Times New Roman"/>
          <w:sz w:val="22"/>
          <w:szCs w:val="22"/>
          <w:lang w:eastAsia="pt-BR"/>
        </w:rPr>
        <w:fldChar w:fldCharType="separate"/>
      </w:r>
      <w:r>
        <w:rPr>
          <w:rStyle w:val="54"/>
          <w:rFonts w:ascii="Times New Roman" w:hAnsi="Times New Roman"/>
          <w:sz w:val="22"/>
          <w:szCs w:val="22"/>
          <w:lang w:eastAsia="pt-BR"/>
        </w:rPr>
        <w:t xml:space="preserve">incisos III ou IV do </w:t>
      </w:r>
      <w:r>
        <w:rPr>
          <w:rStyle w:val="54"/>
          <w:rFonts w:ascii="Times New Roman" w:hAnsi="Times New Roman"/>
          <w:sz w:val="22"/>
          <w:szCs w:val="22"/>
          <w:lang w:eastAsia="pt-BR"/>
        </w:rPr>
        <w:fldChar w:fldCharType="end"/>
      </w:r>
      <w:r>
        <w:rPr>
          <w:rStyle w:val="54"/>
          <w:rFonts w:ascii="Times New Roman" w:hAnsi="Times New Roman"/>
          <w:i/>
          <w:iCs/>
          <w:sz w:val="22"/>
          <w:szCs w:val="22"/>
          <w:lang w:eastAsia="pt-BR"/>
        </w:rPr>
        <w:t>caput</w:t>
      </w:r>
      <w:r>
        <w:rPr>
          <w:rStyle w:val="54"/>
          <w:rFonts w:ascii="Times New Roman" w:hAnsi="Times New Roman"/>
          <w:sz w:val="22"/>
          <w:szCs w:val="22"/>
          <w:lang w:eastAsia="pt-BR"/>
        </w:rPr>
        <w:t xml:space="preserve"> do art. 156 da Lei Federal nº 14.133, de 2021</w:t>
      </w:r>
      <w:r>
        <w:rPr>
          <w:rFonts w:ascii="Times New Roman" w:hAnsi="Times New Roman" w:cs="Times New Roman"/>
          <w:sz w:val="22"/>
          <w:szCs w:val="22"/>
          <w:lang w:eastAsia="pt-BR"/>
        </w:rPr>
        <w:t>, caso a penalidade aplicada ao fornecedor não ultrapasse o prazo de vigência da ata de registro de preços, o órgão gerenciador poderá, mediante decisão fundamentada, decidir pela manutenção do registro de preços, vedadas contratações derivadas da ata enquanto perdurarem os efeitos da sanção.</w:t>
      </w:r>
    </w:p>
    <w:p>
      <w:pPr>
        <w:pStyle w:val="60"/>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 O cancelamento de registros será formalizado por despacho do órgão gerenciador, garantidos os princípios do contraditório e da ampla defesa.</w:t>
      </w:r>
    </w:p>
    <w:p>
      <w:pPr>
        <w:pStyle w:val="60"/>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Na hipótese de cancelamento do registro do fornecedor, o órgão gerenciador poderá convocar os licitantes que compõem o cadastro de reserva, observada a ordem de classificação.</w:t>
      </w:r>
    </w:p>
    <w:p>
      <w:pPr>
        <w:pStyle w:val="60"/>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cancelamento dos preços registrados poderá ser realizado pelo gerenciador, em determinada ata de registro de preços, total ou parcialmente, nas seguintes hipóteses, desde que devidamente comprovadas e justificadas:</w:t>
      </w:r>
      <w:bookmarkStart w:id="70" w:name="cancelamento_da_ata"/>
      <w:bookmarkEnd w:id="70"/>
      <w:r>
        <w:rPr>
          <w:rFonts w:ascii="Times New Roman" w:hAnsi="Times New Roman" w:cs="Times New Roman"/>
          <w:sz w:val="22"/>
          <w:szCs w:val="22"/>
          <w:lang w:eastAsia="pt-BR"/>
        </w:rPr>
        <w:t xml:space="preserve"> </w:t>
      </w:r>
    </w:p>
    <w:p>
      <w:pPr>
        <w:pStyle w:val="60"/>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Por razão de interesse público;</w:t>
      </w:r>
    </w:p>
    <w:p>
      <w:pPr>
        <w:pStyle w:val="60"/>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 pedido do fornecedor, decorrente de caso fortuito ou força maior; ou</w:t>
      </w:r>
    </w:p>
    <w:p>
      <w:pPr>
        <w:pStyle w:val="60"/>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 xml:space="preserve">Se não houver êxito nas negociações, nas hipóteses em que o preço de mercado tornar-se superior ou inferior ao preço registrado. </w:t>
      </w:r>
    </w:p>
    <w:p>
      <w:pPr>
        <w:pStyle w:val="60"/>
        <w:numPr>
          <w:ilvl w:val="0"/>
          <w:numId w:val="16"/>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SANÇÕES ADMINISTRATIVAS POR DESCUMPRIMENTO DE OBRIGAÇÕES CONTIDAS NA ARP</w:t>
      </w:r>
    </w:p>
    <w:p>
      <w:pPr>
        <w:pStyle w:val="60"/>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As empresas com preços registrados nesta ARP e signatárias dos respectivos contratos estarão sujeitas às sanções administrativas previstas neste Edital de Licitação do Pregão nº 004/2024</w:t>
      </w:r>
      <w:r>
        <w:rPr>
          <w:rFonts w:ascii="Times New Roman" w:hAnsi="Times New Roman" w:cs="Times New Roman"/>
          <w:color w:val="000000"/>
          <w:sz w:val="22"/>
          <w:szCs w:val="22"/>
          <w:shd w:val="clear" w:fill="auto"/>
          <w:lang w:eastAsia="pt-BR"/>
        </w:rPr>
        <w:t xml:space="preserve">, </w:t>
      </w:r>
      <w:r>
        <w:rPr>
          <w:rFonts w:ascii="Times New Roman" w:hAnsi="Times New Roman" w:cs="Times New Roman"/>
          <w:sz w:val="22"/>
          <w:szCs w:val="22"/>
          <w:lang w:eastAsia="pt-BR"/>
        </w:rPr>
        <w:t>sem prejuízo de outras previstas em legislação pertinente e da responsabilidade civil e criminal que seus atos ensejarem.</w:t>
      </w:r>
    </w:p>
    <w:p>
      <w:pPr>
        <w:pStyle w:val="60"/>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pPr>
        <w:pStyle w:val="60"/>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Cabe a cada órgão ou entidade participante ou aderente a realização de procedimento para fins de apuração de responsabilidade e aplicação de sanções administrativas nos casos de inadimplemento em suas próprias contratações, comunicando ao gerenciador para fins de registro quaisquer sanções aplicadas.</w:t>
      </w:r>
    </w:p>
    <w:p>
      <w:pPr>
        <w:pStyle w:val="60"/>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órgão ou entidade participante deverá comunicar ao órgão gerenciador qualquer das ocorrências passível de cancelamento do registro do fornecedor.</w:t>
      </w:r>
    </w:p>
    <w:p>
      <w:pPr>
        <w:pStyle w:val="60"/>
        <w:tabs>
          <w:tab w:val="left" w:pos="1134"/>
          <w:tab w:val="left" w:pos="3001"/>
        </w:tabs>
        <w:spacing w:before="120" w:after="120" w:line="240" w:lineRule="auto"/>
        <w:ind w:left="0" w:firstLine="567"/>
        <w:contextualSpacing w:val="0"/>
        <w:jc w:val="both"/>
        <w:rPr>
          <w:rFonts w:ascii="Times New Roman" w:hAnsi="Times New Roman"/>
          <w:sz w:val="22"/>
          <w:szCs w:val="22"/>
        </w:rPr>
      </w:pPr>
    </w:p>
    <w:p>
      <w:pPr>
        <w:pStyle w:val="60"/>
        <w:numPr>
          <w:ilvl w:val="0"/>
          <w:numId w:val="16"/>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CANCELAMENTO E RESCISÃO DA ARP</w:t>
      </w:r>
    </w:p>
    <w:p>
      <w:pPr>
        <w:pStyle w:val="60"/>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registro de preços poderá ser CANCELADO/REVOGADO, por ITEM/GRUPO, por iniciativa do ÓRGÃO GERENCIADOR, quando:</w:t>
      </w:r>
    </w:p>
    <w:p>
      <w:pPr>
        <w:pStyle w:val="60"/>
        <w:numPr>
          <w:ilvl w:val="2"/>
          <w:numId w:val="16"/>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Não houve acordo entre as partes para pactuação/negociação de novo preço nos casos de comprovado desequilíbrio econômico-financeiro em relação ao mercado, conforme regras previstas no</w:t>
      </w:r>
      <w:r>
        <w:rPr>
          <w:rFonts w:ascii="Times New Roman" w:hAnsi="Times New Roman" w:cs="Times New Roman"/>
          <w:sz w:val="22"/>
          <w:szCs w:val="22"/>
          <w:shd w:val="clear" w:fill="auto"/>
          <w:lang w:eastAsia="pt-BR"/>
        </w:rPr>
        <w:t xml:space="preserve"> item 12 </w:t>
      </w:r>
      <w:r>
        <w:rPr>
          <w:rFonts w:ascii="Times New Roman" w:hAnsi="Times New Roman" w:cs="Times New Roman"/>
          <w:sz w:val="22"/>
          <w:szCs w:val="22"/>
          <w:lang w:eastAsia="pt-BR"/>
        </w:rPr>
        <w:t xml:space="preserve">desta ARP, na </w:t>
      </w:r>
      <w:r>
        <w:fldChar w:fldCharType="begin"/>
      </w:r>
      <w:r>
        <w:instrText xml:space="preserve"> HYPERLINK "https://www.planalto.gov.br/ccivil_03/_ato2019-2022/2021/lei/l14133.htm" \h </w:instrText>
      </w:r>
      <w:r>
        <w:fldChar w:fldCharType="separate"/>
      </w:r>
      <w:r>
        <w:rPr>
          <w:rStyle w:val="54"/>
          <w:rFonts w:ascii="Times New Roman" w:hAnsi="Times New Roman"/>
          <w:sz w:val="22"/>
          <w:szCs w:val="22"/>
          <w:lang w:eastAsia="pt-BR"/>
        </w:rPr>
        <w:t>Lei Federal nº 14.133, de 2021</w:t>
      </w:r>
      <w:r>
        <w:rPr>
          <w:rStyle w:val="54"/>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0"/>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Por iniciativa do próprio titular do registro, desde que apresente solicitação formal, bem como haja comprovação de situação que impossibilite o cumprimento das exigências insertas nesta ARP, tendo em vista fato superveniente, decorrente de caso fortuito ou força maior, aceito pelo ÓRGÃO GERENCIADOR.</w:t>
      </w:r>
    </w:p>
    <w:p>
      <w:pPr>
        <w:pStyle w:val="60"/>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Presentes razões de conveniência e oportunidade ao interesse público, devidamente justificadas.</w:t>
      </w:r>
    </w:p>
    <w:p>
      <w:pPr>
        <w:pStyle w:val="60"/>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registro de preços poderá ser RESCINDIDO, por iniciativa do ÓRGÃO GERENCIADOR, observada a gravidade da conduta e os reflexos em relação ao interesse público, quando o titular do registro:</w:t>
      </w:r>
    </w:p>
    <w:p>
      <w:pPr>
        <w:pStyle w:val="60"/>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executar de forma total ou parcial qualificada as obrigações presentes nesta ARP;</w:t>
      </w:r>
    </w:p>
    <w:p>
      <w:pPr>
        <w:pStyle w:val="60"/>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Recusar-se a retirar e assinar a nota de empenho ou instrumento contratual no prazo estabelecido, salvo por motivo devidamente justificado e aceito pelo órgão ou entidade Contratante;</w:t>
      </w:r>
    </w:p>
    <w:p>
      <w:pPr>
        <w:pStyle w:val="60"/>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Der causa à rescisão administrativa de dois ou mais contratos firmados com base neste ARP;</w:t>
      </w:r>
    </w:p>
    <w:p>
      <w:pPr>
        <w:pStyle w:val="60"/>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mantiver as condições de participação e de habilitação exigidas na licitação, salvo irregularidade temporária e sanável em até 30 (trinta) dias corridos; ou</w:t>
      </w:r>
    </w:p>
    <w:p>
      <w:pPr>
        <w:pStyle w:val="60"/>
        <w:numPr>
          <w:ilvl w:val="2"/>
          <w:numId w:val="16"/>
        </w:numPr>
        <w:tabs>
          <w:tab w:val="left" w:pos="1276"/>
          <w:tab w:val="left" w:pos="3001"/>
        </w:tabs>
        <w:spacing w:before="120" w:after="120" w:line="240" w:lineRule="auto"/>
        <w:contextualSpacing w:val="0"/>
        <w:jc w:val="both"/>
      </w:pPr>
      <w:r>
        <w:rPr>
          <w:rFonts w:ascii="Times New Roman" w:hAnsi="Times New Roman" w:cs="Times New Roman"/>
          <w:sz w:val="22"/>
          <w:szCs w:val="22"/>
          <w:lang w:eastAsia="pt-BR"/>
        </w:rPr>
        <w:t xml:space="preserve">Sofrer sanção prevista no </w:t>
      </w:r>
      <w:r>
        <w:fldChar w:fldCharType="begin"/>
      </w:r>
      <w:r>
        <w:rPr>
          <w:rStyle w:val="54"/>
          <w:rFonts w:ascii="Times New Roman" w:hAnsi="Times New Roman"/>
          <w:sz w:val="22"/>
          <w:szCs w:val="22"/>
          <w:lang w:eastAsia="pt-BR"/>
        </w:rPr>
        <w:instrText xml:space="preserve"> HYPERLINK "https://www.planalto.gov.br/ccivil_03/_ato2019-2022/2021/lei/l14133.htm" \l "art156"</w:instrText>
      </w:r>
      <w:r>
        <w:rPr>
          <w:rStyle w:val="54"/>
          <w:rFonts w:ascii="Times New Roman" w:hAnsi="Times New Roman"/>
          <w:sz w:val="22"/>
          <w:szCs w:val="22"/>
          <w:lang w:eastAsia="pt-BR"/>
        </w:rPr>
        <w:fldChar w:fldCharType="separate"/>
      </w:r>
      <w:r>
        <w:rPr>
          <w:rStyle w:val="54"/>
          <w:rFonts w:ascii="Times New Roman" w:hAnsi="Times New Roman"/>
          <w:sz w:val="22"/>
          <w:szCs w:val="22"/>
          <w:lang w:eastAsia="pt-BR"/>
        </w:rPr>
        <w:t>art. 156, III ou IV, da Lei Federal nº 14.133, de 2021</w:t>
      </w:r>
      <w:r>
        <w:rPr>
          <w:rStyle w:val="54"/>
          <w:rFonts w:ascii="Times New Roman" w:hAnsi="Times New Roman"/>
          <w:sz w:val="22"/>
          <w:szCs w:val="22"/>
          <w:lang w:eastAsia="pt-BR"/>
        </w:rPr>
        <w:fldChar w:fldCharType="end"/>
      </w:r>
      <w:r>
        <w:rPr>
          <w:rFonts w:ascii="Times New Roman" w:hAnsi="Times New Roman" w:cs="Times New Roman"/>
          <w:sz w:val="22"/>
          <w:szCs w:val="22"/>
          <w:lang w:eastAsia="pt-BR"/>
        </w:rPr>
        <w:t xml:space="preserve">, ou no </w:t>
      </w:r>
      <w:r>
        <w:fldChar w:fldCharType="begin"/>
      </w:r>
      <w:r>
        <w:rPr>
          <w:rStyle w:val="54"/>
          <w:rFonts w:ascii="Times New Roman" w:hAnsi="Times New Roman"/>
          <w:sz w:val="22"/>
          <w:szCs w:val="22"/>
          <w:lang w:eastAsia="pt-BR"/>
        </w:rPr>
        <w:instrText xml:space="preserve"> HYPERLINK "https://www.planalto.gov.br/ccivil_03/leis/l8666cons.htm" \l "art87"</w:instrText>
      </w:r>
      <w:r>
        <w:rPr>
          <w:rStyle w:val="54"/>
          <w:rFonts w:ascii="Times New Roman" w:hAnsi="Times New Roman"/>
          <w:sz w:val="22"/>
          <w:szCs w:val="22"/>
          <w:lang w:eastAsia="pt-BR"/>
        </w:rPr>
        <w:fldChar w:fldCharType="separate"/>
      </w:r>
      <w:r>
        <w:rPr>
          <w:rStyle w:val="54"/>
          <w:rFonts w:ascii="Times New Roman" w:hAnsi="Times New Roman"/>
          <w:sz w:val="22"/>
          <w:szCs w:val="22"/>
          <w:lang w:eastAsia="pt-BR"/>
        </w:rPr>
        <w:t>art. 87, III ou IV, da Lei Federal nº 8.666, de 1993</w:t>
      </w:r>
      <w:r>
        <w:rPr>
          <w:rStyle w:val="54"/>
          <w:rFonts w:ascii="Times New Roman" w:hAnsi="Times New Roman"/>
          <w:sz w:val="22"/>
          <w:szCs w:val="22"/>
          <w:lang w:eastAsia="pt-BR"/>
        </w:rPr>
        <w:fldChar w:fldCharType="end"/>
      </w:r>
      <w:r>
        <w:rPr>
          <w:rFonts w:ascii="Times New Roman" w:hAnsi="Times New Roman" w:cs="Times New Roman"/>
          <w:sz w:val="22"/>
          <w:szCs w:val="22"/>
          <w:lang w:eastAsia="pt-BR"/>
        </w:rPr>
        <w:t xml:space="preserve">, ou no </w:t>
      </w:r>
      <w:r>
        <w:fldChar w:fldCharType="begin"/>
      </w:r>
      <w:r>
        <w:rPr>
          <w:rStyle w:val="54"/>
          <w:rFonts w:ascii="Times New Roman" w:hAnsi="Times New Roman"/>
          <w:sz w:val="22"/>
          <w:szCs w:val="22"/>
          <w:lang w:eastAsia="pt-BR"/>
        </w:rPr>
        <w:instrText xml:space="preserve"> HYPERLINK "http://www.planalto.gov.br/ccivil_03/leis/2002/l10520.htm" \l "art7"</w:instrText>
      </w:r>
      <w:r>
        <w:rPr>
          <w:rStyle w:val="54"/>
          <w:rFonts w:ascii="Times New Roman" w:hAnsi="Times New Roman"/>
          <w:sz w:val="22"/>
          <w:szCs w:val="22"/>
          <w:lang w:eastAsia="pt-BR"/>
        </w:rPr>
        <w:fldChar w:fldCharType="separate"/>
      </w:r>
      <w:r>
        <w:rPr>
          <w:rStyle w:val="54"/>
          <w:rFonts w:ascii="Times New Roman" w:hAnsi="Times New Roman"/>
          <w:sz w:val="22"/>
          <w:szCs w:val="22"/>
          <w:lang w:eastAsia="pt-BR"/>
        </w:rPr>
        <w:t>art. 7º da Lei Federal nº 10.520, de 2002</w:t>
      </w:r>
      <w:r>
        <w:rPr>
          <w:rStyle w:val="54"/>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0"/>
        <w:numPr>
          <w:ilvl w:val="1"/>
          <w:numId w:val="16"/>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cancelamento/revogação do registro, assegurados o contraditório e a ampla defesa, deverá ser formalizado mediante competente processo administrativo com despacho fundamentado da autoridade competente do ÓRGÃO GERENCIADOR, mediante registro em termo de cancelamento/revogação assinado pelas partes interessadas.</w:t>
      </w:r>
    </w:p>
    <w:p>
      <w:pPr>
        <w:pStyle w:val="60"/>
        <w:numPr>
          <w:ilvl w:val="1"/>
          <w:numId w:val="16"/>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Havendo cancelamento/revogação do registro, não caberá a aplicação de qualquer espécie de sanção administrativa ao titular do registro.</w:t>
      </w:r>
    </w:p>
    <w:p>
      <w:pPr>
        <w:pStyle w:val="60"/>
        <w:numPr>
          <w:ilvl w:val="1"/>
          <w:numId w:val="16"/>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cancelamento/revogação do registro na hipótese do fornecedor recusar-se a retirar e assinar a nota de empenho ou instrumento contratual no prazo estabelecido, não poderá ser aceita em prejuízo ao interesse público.</w:t>
      </w:r>
    </w:p>
    <w:p>
      <w:pPr>
        <w:pStyle w:val="60"/>
        <w:numPr>
          <w:ilvl w:val="1"/>
          <w:numId w:val="16"/>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rescisão do registro de preços será determinada em decisão unilateral e fundamentada do ÓRGÃO GERENCIADOR, garantido o contraditório e a ampla defesa em processo administrativo.</w:t>
      </w:r>
    </w:p>
    <w:p>
      <w:pPr>
        <w:pStyle w:val="60"/>
        <w:numPr>
          <w:ilvl w:val="1"/>
          <w:numId w:val="16"/>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rescisão do registro de preços poderá ensejar a abertura de procedimento de apuração da responsabilidade e aplicação de sanções administrativas em face do titular do registro.</w:t>
      </w:r>
    </w:p>
    <w:p>
      <w:pPr>
        <w:pStyle w:val="60"/>
        <w:numPr>
          <w:ilvl w:val="0"/>
          <w:numId w:val="16"/>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DISPOSIÇÕES FINAIS</w:t>
      </w:r>
    </w:p>
    <w:p>
      <w:pPr>
        <w:pStyle w:val="60"/>
        <w:numPr>
          <w:ilvl w:val="1"/>
          <w:numId w:val="16"/>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Os casos omissos desta ARP serão resolvidos de acordo com a legislação vigente, particularmente com a </w:t>
      </w:r>
      <w:r>
        <w:fldChar w:fldCharType="begin"/>
      </w:r>
      <w:r>
        <w:instrText xml:space="preserve"> HYPERLINK "https://www.planalto.gov.br/ccivil_03/_ato2019-2022/2021/lei/l14133.htm" \h </w:instrText>
      </w:r>
      <w:r>
        <w:fldChar w:fldCharType="separate"/>
      </w:r>
      <w:r>
        <w:rPr>
          <w:rStyle w:val="54"/>
          <w:rFonts w:ascii="Times New Roman" w:hAnsi="Times New Roman"/>
          <w:sz w:val="22"/>
          <w:szCs w:val="22"/>
          <w:lang w:eastAsia="pt-BR"/>
        </w:rPr>
        <w:t>Lei Federal nº 14.133, de 2021</w:t>
      </w:r>
      <w:r>
        <w:rPr>
          <w:rStyle w:val="54"/>
          <w:rFonts w:ascii="Times New Roman" w:hAnsi="Times New Roman"/>
          <w:sz w:val="22"/>
          <w:szCs w:val="22"/>
          <w:lang w:eastAsia="pt-BR"/>
        </w:rPr>
        <w:fldChar w:fldCharType="end"/>
      </w:r>
      <w:r>
        <w:rPr>
          <w:rStyle w:val="54"/>
          <w:rFonts w:ascii="Times New Roman" w:hAnsi="Times New Roman" w:cs="Times New Roman"/>
          <w:sz w:val="22"/>
          <w:szCs w:val="22"/>
          <w:lang w:eastAsia="pt-BR"/>
        </w:rPr>
        <w:t>.</w:t>
      </w:r>
    </w:p>
    <w:p>
      <w:pPr>
        <w:tabs>
          <w:tab w:val="left" w:pos="1134"/>
          <w:tab w:val="left" w:pos="3001"/>
        </w:tabs>
        <w:spacing w:before="120" w:after="120" w:line="240" w:lineRule="auto"/>
        <w:jc w:val="both"/>
        <w:rPr>
          <w:rFonts w:ascii="Times New Roman" w:hAnsi="Times New Roman" w:cs="Times New Roman"/>
          <w:sz w:val="22"/>
          <w:szCs w:val="22"/>
          <w:lang w:eastAsia="pt-BR"/>
        </w:rPr>
      </w:pPr>
    </w:p>
    <w:p>
      <w:pPr>
        <w:tabs>
          <w:tab w:val="left" w:pos="1134"/>
          <w:tab w:val="left" w:pos="3001"/>
        </w:tabs>
        <w:spacing w:before="120" w:after="120" w:line="240" w:lineRule="auto"/>
        <w:ind w:firstLine="567"/>
        <w:jc w:val="right"/>
        <w:rPr>
          <w:rFonts w:ascii="Times New Roman" w:hAnsi="Times New Roman"/>
          <w:sz w:val="22"/>
          <w:szCs w:val="22"/>
        </w:rPr>
      </w:pPr>
      <w:r>
        <w:rPr>
          <w:rFonts w:ascii="Times New Roman" w:hAnsi="Times New Roman" w:cs="Times New Roman"/>
          <w:sz w:val="22"/>
          <w:szCs w:val="22"/>
          <w:lang w:eastAsia="pt-BR"/>
        </w:rPr>
        <w:t xml:space="preserve">Primavera do Leste - </w:t>
      </w:r>
      <w:r>
        <w:rPr>
          <w:rFonts w:ascii="Times New Roman" w:hAnsi="Times New Roman" w:cs="Times New Roman"/>
          <w:sz w:val="22"/>
          <w:szCs w:val="22"/>
          <w:shd w:val="clear" w:fill="auto"/>
          <w:lang w:eastAsia="pt-BR"/>
        </w:rPr>
        <w:t>MT, em ______, de  __________de ______.</w:t>
      </w:r>
    </w:p>
    <w:p>
      <w:pPr>
        <w:tabs>
          <w:tab w:val="left" w:pos="3001"/>
        </w:tabs>
        <w:rPr>
          <w:rFonts w:ascii="Times New Roman" w:hAnsi="Times New Roman" w:eastAsiaTheme="minorHAnsi" w:cstheme="minorBidi"/>
          <w:sz w:val="22"/>
          <w:szCs w:val="22"/>
          <w:highlight w:val="none"/>
          <w:shd w:val="clear" w:fill="auto"/>
          <w:lang w:eastAsia="pt-BR"/>
        </w:rPr>
      </w:pPr>
    </w:p>
    <w:p>
      <w:pPr>
        <w:tabs>
          <w:tab w:val="left" w:pos="3001"/>
        </w:tabs>
        <w:rPr>
          <w:rFonts w:ascii="Times New Roman" w:hAnsi="Times New Roman"/>
          <w:sz w:val="22"/>
          <w:szCs w:val="22"/>
          <w:lang w:eastAsia="pt-BR"/>
        </w:rPr>
      </w:pPr>
    </w:p>
    <w:tbl>
      <w:tblPr>
        <w:tblStyle w:val="42"/>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5"/>
        <w:gridCol w:w="4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5" w:type="dxa"/>
            <w:tcBorders>
              <w:top w:val="nil"/>
              <w:left w:val="nil"/>
              <w:bottom w:val="nil"/>
              <w:right w:val="nil"/>
            </w:tcBorders>
          </w:tcPr>
          <w:p>
            <w:pPr>
              <w:widowControl/>
              <w:tabs>
                <w:tab w:val="left" w:pos="3001"/>
              </w:tabs>
              <w:suppressAutoHyphens/>
              <w:spacing w:before="0" w:after="0" w:line="240" w:lineRule="auto"/>
              <w:jc w:val="left"/>
              <w:rPr>
                <w:rFonts w:ascii="Times New Roman" w:hAnsi="Times New Roman"/>
                <w:sz w:val="22"/>
                <w:szCs w:val="22"/>
              </w:rPr>
            </w:pPr>
            <w:r>
              <w:rPr>
                <w:rFonts w:ascii="Times New Roman" w:hAnsi="Times New Roman" w:eastAsia="Calibri" w:cs="Times New Roman"/>
                <w:kern w:val="0"/>
                <w:sz w:val="22"/>
                <w:szCs w:val="22"/>
                <w:lang w:val="pt-BR" w:eastAsia="pt-BR" w:bidi="ar-SA"/>
              </w:rPr>
              <w:t>Assinatura de Representante da Câmara</w:t>
            </w:r>
          </w:p>
        </w:tc>
        <w:tc>
          <w:tcPr>
            <w:tcW w:w="4465" w:type="dxa"/>
            <w:tcBorders>
              <w:top w:val="nil"/>
              <w:left w:val="nil"/>
              <w:bottom w:val="nil"/>
              <w:right w:val="nil"/>
            </w:tcBorders>
          </w:tcPr>
          <w:p>
            <w:pPr>
              <w:widowControl/>
              <w:tabs>
                <w:tab w:val="left" w:pos="3001"/>
              </w:tabs>
              <w:suppressAutoHyphens/>
              <w:spacing w:before="0" w:after="0" w:line="240" w:lineRule="auto"/>
              <w:jc w:val="left"/>
              <w:rPr>
                <w:rFonts w:ascii="Times New Roman" w:hAnsi="Times New Roman"/>
                <w:sz w:val="22"/>
                <w:szCs w:val="22"/>
              </w:rPr>
            </w:pPr>
            <w:r>
              <w:rPr>
                <w:rFonts w:ascii="Times New Roman" w:hAnsi="Times New Roman" w:eastAsia="Calibri" w:cs="Times New Roman"/>
                <w:kern w:val="0"/>
                <w:sz w:val="22"/>
                <w:szCs w:val="22"/>
                <w:lang w:val="pt-BR" w:eastAsia="pt-BR" w:bidi="ar-SA"/>
              </w:rPr>
              <w:t>Assinatura de Representante do Fornecedor</w:t>
            </w:r>
          </w:p>
        </w:tc>
      </w:tr>
    </w:tbl>
    <w:p>
      <w:pPr>
        <w:tabs>
          <w:tab w:val="left" w:pos="3001"/>
        </w:tabs>
        <w:rPr>
          <w:rFonts w:ascii="Times New Roman" w:hAnsi="Times New Roman"/>
          <w:sz w:val="22"/>
          <w:szCs w:val="22"/>
          <w:lang w:eastAsia="pt-BR"/>
        </w:rPr>
      </w:pPr>
    </w:p>
    <w:p>
      <w:pPr>
        <w:rPr>
          <w:rFonts w:ascii="Times New Roman" w:hAnsi="Times New Roman"/>
          <w:sz w:val="22"/>
          <w:szCs w:val="22"/>
          <w:lang w:eastAsia="pt-BR"/>
        </w:rPr>
      </w:pPr>
      <w:r>
        <w:br w:type="page"/>
      </w:r>
    </w:p>
    <w:p>
      <w:pPr>
        <w:tabs>
          <w:tab w:val="left" w:pos="3001"/>
        </w:tabs>
        <w:spacing w:before="0" w:after="120" w:line="240" w:lineRule="auto"/>
        <w:jc w:val="center"/>
        <w:rPr>
          <w:rFonts w:ascii="Times New Roman" w:hAnsi="Times New Roman"/>
          <w:sz w:val="22"/>
          <w:szCs w:val="22"/>
        </w:rPr>
      </w:pPr>
      <w:r>
        <w:rPr>
          <w:rFonts w:ascii="Times New Roman" w:hAnsi="Times New Roman" w:cs="Times New Roman"/>
          <w:b/>
          <w:bCs/>
          <w:sz w:val="22"/>
          <w:szCs w:val="22"/>
          <w:u w:val="single"/>
          <w:lang w:eastAsia="pt-BR"/>
        </w:rPr>
        <w:t>ANEXO A - CADASTRO DE RESERVA</w:t>
      </w:r>
    </w:p>
    <w:p>
      <w:pPr>
        <w:tabs>
          <w:tab w:val="left" w:pos="3001"/>
        </w:tabs>
        <w:spacing w:before="120" w:after="120" w:line="240" w:lineRule="auto"/>
        <w:rPr>
          <w:rFonts w:ascii="Times New Roman" w:hAnsi="Times New Roman"/>
          <w:sz w:val="22"/>
          <w:szCs w:val="22"/>
        </w:rPr>
      </w:pPr>
      <w:r>
        <w:rPr>
          <w:rFonts w:ascii="Times New Roman" w:hAnsi="Times New Roman" w:cs="Times New Roman"/>
          <w:b/>
          <w:bCs/>
          <w:sz w:val="22"/>
          <w:szCs w:val="22"/>
          <w:u w:val="single"/>
          <w:lang w:eastAsia="pt-BR"/>
        </w:rPr>
        <w:t>2ª Classificada</w:t>
      </w:r>
      <w:r>
        <w:rPr>
          <w:rFonts w:ascii="Times New Roman" w:hAnsi="Times New Roman" w:cs="Times New Roman"/>
          <w:b/>
          <w:bCs/>
          <w:sz w:val="22"/>
          <w:szCs w:val="22"/>
          <w:lang w:eastAsia="pt-BR"/>
        </w:rPr>
        <w:t>:</w:t>
      </w:r>
    </w:p>
    <w:tbl>
      <w:tblPr>
        <w:tblStyle w:val="4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53"/>
        <w:gridCol w:w="2560"/>
        <w:gridCol w:w="1134"/>
        <w:gridCol w:w="1418"/>
        <w:gridCol w:w="851"/>
        <w:gridCol w:w="850"/>
        <w:gridCol w:w="855"/>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9066" w:type="dxa"/>
            <w:gridSpan w:val="8"/>
            <w:shd w:val="clear" w:color="auto" w:fill="A5A5A5" w:themeFill="background1" w:themeFillShade="A6"/>
          </w:tcPr>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Empresa: XXX - CNPJ: XXX</w:t>
            </w:r>
          </w:p>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Representante Legal: XXX</w:t>
            </w:r>
          </w:p>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Telefone: (XX) XXXX-XXXX - E-mail: XXX</w:t>
            </w:r>
          </w:p>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Endereço: 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553"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Item</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T.R.</w:t>
            </w:r>
          </w:p>
        </w:tc>
        <w:tc>
          <w:tcPr>
            <w:tcW w:w="2560"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Especificação</w:t>
            </w:r>
          </w:p>
        </w:tc>
        <w:tc>
          <w:tcPr>
            <w:tcW w:w="1134"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bookmarkStart w:id="78" w:name="_GoBack"/>
            <w:bookmarkEnd w:id="78"/>
            <w:r>
              <w:rPr>
                <w:rFonts w:ascii="Times New Roman" w:hAnsi="Times New Roman" w:eastAsia="Calibri" w:cs="Times New Roman"/>
                <w:b/>
                <w:bCs/>
                <w:kern w:val="0"/>
                <w:sz w:val="22"/>
                <w:szCs w:val="22"/>
                <w:highlight w:val="none"/>
                <w:lang w:val="pt-BR" w:eastAsia="pt-BR" w:bidi="ar-SA"/>
              </w:rPr>
              <w:t>Marca</w:t>
            </w:r>
          </w:p>
        </w:tc>
        <w:tc>
          <w:tcPr>
            <w:tcW w:w="1418"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Modelo</w:t>
            </w:r>
          </w:p>
        </w:tc>
        <w:tc>
          <w:tcPr>
            <w:tcW w:w="851"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Unidade</w:t>
            </w:r>
          </w:p>
        </w:tc>
        <w:tc>
          <w:tcPr>
            <w:tcW w:w="850"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Qtde</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Máxima</w:t>
            </w:r>
          </w:p>
        </w:tc>
        <w:tc>
          <w:tcPr>
            <w:tcW w:w="855"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Qtde</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Mínima</w:t>
            </w:r>
          </w:p>
        </w:tc>
        <w:tc>
          <w:tcPr>
            <w:tcW w:w="845"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Valor</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Unitário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256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134"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418"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1"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4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256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134"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418"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1"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4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r>
    </w:tbl>
    <w:p>
      <w:pPr>
        <w:tabs>
          <w:tab w:val="left" w:pos="3001"/>
        </w:tabs>
        <w:rPr>
          <w:rFonts w:ascii="Times New Roman" w:hAnsi="Times New Roman" w:cs="Times New Roman"/>
          <w:sz w:val="22"/>
          <w:szCs w:val="22"/>
          <w:highlight w:val="none"/>
          <w:lang w:eastAsia="pt-BR"/>
        </w:rPr>
      </w:pPr>
    </w:p>
    <w:p>
      <w:pPr>
        <w:tabs>
          <w:tab w:val="left" w:pos="3001"/>
        </w:tabs>
        <w:spacing w:before="120" w:after="120" w:line="240" w:lineRule="auto"/>
        <w:rPr>
          <w:rFonts w:ascii="Times New Roman" w:hAnsi="Times New Roman"/>
          <w:sz w:val="22"/>
          <w:szCs w:val="22"/>
          <w:highlight w:val="none"/>
        </w:rPr>
      </w:pPr>
      <w:r>
        <w:rPr>
          <w:rFonts w:ascii="Times New Roman" w:hAnsi="Times New Roman" w:cs="Times New Roman"/>
          <w:b/>
          <w:bCs/>
          <w:sz w:val="22"/>
          <w:szCs w:val="22"/>
          <w:highlight w:val="none"/>
          <w:u w:val="single"/>
          <w:lang w:eastAsia="pt-BR"/>
        </w:rPr>
        <w:t>3ª Classificada</w:t>
      </w:r>
      <w:r>
        <w:rPr>
          <w:rFonts w:ascii="Times New Roman" w:hAnsi="Times New Roman" w:cs="Times New Roman"/>
          <w:b/>
          <w:bCs/>
          <w:sz w:val="22"/>
          <w:szCs w:val="22"/>
          <w:highlight w:val="none"/>
          <w:lang w:eastAsia="pt-BR"/>
        </w:rPr>
        <w:t>:</w:t>
      </w:r>
    </w:p>
    <w:tbl>
      <w:tblPr>
        <w:tblStyle w:val="4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53"/>
        <w:gridCol w:w="2560"/>
        <w:gridCol w:w="1134"/>
        <w:gridCol w:w="1418"/>
        <w:gridCol w:w="851"/>
        <w:gridCol w:w="850"/>
        <w:gridCol w:w="855"/>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9066" w:type="dxa"/>
            <w:gridSpan w:val="8"/>
            <w:shd w:val="clear" w:color="auto" w:fill="A5A5A5" w:themeFill="background1" w:themeFillShade="A6"/>
          </w:tcPr>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Empresa: XXX - CNPJ: XXX</w:t>
            </w:r>
          </w:p>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Representante Legal: XXX</w:t>
            </w:r>
          </w:p>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Telefone: (XX) XXXX-XXXX - E-mail: XXX</w:t>
            </w:r>
          </w:p>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Endereço: 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553"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Item</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T.R.</w:t>
            </w:r>
          </w:p>
        </w:tc>
        <w:tc>
          <w:tcPr>
            <w:tcW w:w="2560"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Especificação</w:t>
            </w:r>
          </w:p>
        </w:tc>
        <w:tc>
          <w:tcPr>
            <w:tcW w:w="1134"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Marca</w:t>
            </w:r>
          </w:p>
        </w:tc>
        <w:tc>
          <w:tcPr>
            <w:tcW w:w="1418"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Modelo</w:t>
            </w:r>
          </w:p>
        </w:tc>
        <w:tc>
          <w:tcPr>
            <w:tcW w:w="851"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Unidade</w:t>
            </w:r>
          </w:p>
        </w:tc>
        <w:tc>
          <w:tcPr>
            <w:tcW w:w="850"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Qtde</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Máxima</w:t>
            </w:r>
          </w:p>
        </w:tc>
        <w:tc>
          <w:tcPr>
            <w:tcW w:w="855"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Qtde</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Mínima</w:t>
            </w:r>
          </w:p>
        </w:tc>
        <w:tc>
          <w:tcPr>
            <w:tcW w:w="845"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Valor</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Unitário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256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134"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418"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1"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4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256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134"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418"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1"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4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r>
    </w:tbl>
    <w:p>
      <w:pPr>
        <w:tabs>
          <w:tab w:val="left" w:pos="3001"/>
        </w:tabs>
        <w:rPr>
          <w:rFonts w:ascii="Times New Roman" w:hAnsi="Times New Roman" w:cs="Times New Roman"/>
          <w:sz w:val="22"/>
          <w:szCs w:val="22"/>
          <w:lang w:eastAsia="pt-BR"/>
        </w:rPr>
      </w:pPr>
    </w:p>
    <w:p>
      <w:pPr>
        <w:rPr>
          <w:rFonts w:ascii="Times New Roman" w:hAnsi="Times New Roman" w:cs="Times New Roman"/>
          <w:sz w:val="22"/>
          <w:szCs w:val="22"/>
          <w:lang w:eastAsia="pt-BR"/>
        </w:rPr>
      </w:pPr>
      <w:r>
        <w:br w:type="page"/>
      </w:r>
    </w:p>
    <w:p>
      <w:pPr>
        <w:pStyle w:val="2"/>
        <w:numPr>
          <w:ilvl w:val="0"/>
          <w:numId w:val="0"/>
        </w:numPr>
        <w:spacing w:before="0" w:after="120"/>
        <w:ind w:left="0" w:firstLine="0"/>
        <w:jc w:val="center"/>
        <w:rPr>
          <w:rFonts w:ascii="Times New Roman" w:hAnsi="Times New Roman"/>
          <w:sz w:val="22"/>
          <w:szCs w:val="22"/>
        </w:rPr>
      </w:pPr>
      <w:bookmarkStart w:id="71" w:name="_Toc149517470"/>
      <w:r>
        <w:rPr>
          <w:sz w:val="22"/>
          <w:szCs w:val="22"/>
        </w:rPr>
        <w:t>ANEXO V – MINUTA DO INSTRUMENTO DE CONTRATO</w:t>
      </w:r>
      <w:bookmarkEnd w:id="71"/>
    </w:p>
    <w:p>
      <w:pPr>
        <w:pBdr>
          <w:top w:val="single" w:color="000000" w:sz="4" w:space="1"/>
          <w:left w:val="single" w:color="000000" w:sz="4" w:space="4"/>
          <w:bottom w:val="single" w:color="000000" w:sz="4" w:space="1"/>
          <w:right w:val="single" w:color="000000" w:sz="4" w:space="4"/>
        </w:pBdr>
        <w:shd w:val="clear" w:color="auto" w:fill="BEBEBE" w:themeFill="background1" w:themeFillShade="BF"/>
        <w:spacing w:before="360" w:after="0" w:line="240" w:lineRule="auto"/>
        <w:jc w:val="center"/>
        <w:rPr>
          <w:rFonts w:ascii="Times New Roman" w:hAnsi="Times New Roman"/>
          <w:sz w:val="22"/>
          <w:szCs w:val="22"/>
        </w:rPr>
      </w:pPr>
      <w:r>
        <w:rPr>
          <w:rFonts w:ascii="Times New Roman" w:hAnsi="Times New Roman" w:cs="Times New Roman"/>
          <w:b/>
          <w:bCs/>
          <w:color w:val="000000"/>
          <w:sz w:val="22"/>
          <w:szCs w:val="22"/>
        </w:rPr>
        <w:t>MINUTA DO CONTRATO Nº _____ / 2024</w:t>
      </w:r>
    </w:p>
    <w:p>
      <w:pPr>
        <w:pStyle w:val="124"/>
        <w:spacing w:before="600" w:after="600" w:line="240" w:lineRule="auto"/>
        <w:ind w:left="4253" w:right="0"/>
        <w:rPr>
          <w:rFonts w:ascii="Times New Roman" w:hAnsi="Times New Roman"/>
          <w:sz w:val="22"/>
          <w:szCs w:val="22"/>
        </w:rPr>
      </w:pPr>
      <w:r>
        <w:rPr>
          <w:rFonts w:ascii="Times New Roman" w:hAnsi="Times New Roman" w:cs="Times New Roman"/>
          <w:bCs w:val="0"/>
          <w:sz w:val="22"/>
          <w:szCs w:val="22"/>
        </w:rPr>
        <w:t xml:space="preserve">MINUTA DO CONTRATO ADMINISTRATIVO Nº ________/2024, para </w:t>
      </w:r>
      <w:r>
        <w:rPr>
          <w:rFonts w:ascii="Times New Roman" w:hAnsi="Times New Roman" w:cs="Times New Roman"/>
          <w:b/>
          <w:bCs/>
          <w:sz w:val="22"/>
          <w:szCs w:val="22"/>
        </w:rPr>
        <w:t>Contratação</w:t>
      </w:r>
      <w:r>
        <w:rPr>
          <w:rFonts w:ascii="Times New Roman" w:hAnsi="Times New Roman" w:cs="Times New Roman"/>
          <w:b/>
          <w:bCs/>
          <w:color w:val="000000"/>
          <w:sz w:val="22"/>
          <w:szCs w:val="22"/>
        </w:rPr>
        <w:t xml:space="preserve"> </w:t>
      </w:r>
      <w:r>
        <w:rPr>
          <w:rFonts w:ascii="Times New Roman" w:hAnsi="Times New Roman" w:cs="Times New Roman"/>
          <w:b/>
          <w:bCs/>
          <w:color w:val="000000"/>
          <w:kern w:val="0"/>
          <w:sz w:val="22"/>
          <w:szCs w:val="22"/>
          <w:shd w:val="clear" w:fill="auto"/>
          <w:lang w:val="pt-BR" w:bidi="ar-SA"/>
        </w:rPr>
        <w:t>de Empresa especializada em fornecimento de sistema vídeo com instalação a serem disponibilizados na Câmara Municipal de Primavera do Leste-MT do</w:t>
      </w:r>
      <w:r>
        <w:rPr>
          <w:rFonts w:ascii="Times New Roman" w:hAnsi="Times New Roman" w:cs="Times New Roman"/>
          <w:bCs w:val="0"/>
          <w:sz w:val="22"/>
          <w:szCs w:val="22"/>
        </w:rPr>
        <w:t xml:space="preserve"> </w:t>
      </w:r>
      <w:r>
        <w:rPr>
          <w:rFonts w:ascii="Times New Roman" w:hAnsi="Times New Roman" w:cs="Times New Roman"/>
          <w:color w:val="000000"/>
          <w:sz w:val="22"/>
          <w:szCs w:val="22"/>
        </w:rPr>
        <w:t>(Processo Administrativo n° 007/2024</w:t>
      </w:r>
      <w:r>
        <w:rPr>
          <w:rFonts w:ascii="Times New Roman" w:hAnsi="Times New Roman" w:cs="Times New Roman"/>
          <w:sz w:val="22"/>
          <w:szCs w:val="22"/>
        </w:rPr>
        <w:t>)</w:t>
      </w:r>
      <w:r>
        <w:rPr>
          <w:rFonts w:ascii="Times New Roman" w:hAnsi="Times New Roman" w:cs="Times New Roman"/>
          <w:bCs w:val="0"/>
          <w:sz w:val="22"/>
          <w:szCs w:val="22"/>
        </w:rPr>
        <w:t>.</w:t>
      </w:r>
    </w:p>
    <w:p>
      <w:pPr>
        <w:spacing w:before="120" w:after="120"/>
        <w:ind w:firstLine="1134"/>
        <w:jc w:val="both"/>
      </w:pPr>
      <w:r>
        <w:rPr>
          <w:rFonts w:ascii="Times New Roman" w:hAnsi="Times New Roman" w:eastAsia="Arial" w:cs="Times New Roman"/>
          <w:b/>
          <w:bCs/>
          <w:sz w:val="22"/>
          <w:szCs w:val="22"/>
          <w:shd w:val="clear" w:fill="auto"/>
          <w:lang w:eastAsia="pt-BR"/>
        </w:rPr>
        <w:t>O MUNICÍPIO DE PRIMAVERA DO LESTE - MT</w:t>
      </w:r>
      <w:r>
        <w:rPr>
          <w:rFonts w:ascii="Times New Roman" w:hAnsi="Times New Roman" w:eastAsia="Arial" w:cs="Times New Roman"/>
          <w:b w:val="0"/>
          <w:bCs w:val="0"/>
          <w:sz w:val="22"/>
          <w:szCs w:val="22"/>
          <w:shd w:val="clear" w:fill="auto"/>
          <w:lang w:eastAsia="pt-BR"/>
        </w:rPr>
        <w:t xml:space="preserve">, por intermédio da </w:t>
      </w:r>
      <w:r>
        <w:rPr>
          <w:rFonts w:ascii="Times New Roman" w:hAnsi="Times New Roman" w:eastAsia="Arial" w:cs="Times New Roman"/>
          <w:b/>
          <w:bCs/>
          <w:sz w:val="22"/>
          <w:szCs w:val="22"/>
          <w:shd w:val="clear" w:fill="auto"/>
          <w:lang w:eastAsia="pt-BR"/>
        </w:rPr>
        <w:t>CÂMARA MUNICIPAL</w:t>
      </w:r>
      <w:r>
        <w:rPr>
          <w:rFonts w:ascii="Times New Roman" w:hAnsi="Times New Roman" w:eastAsia="Arial" w:cs="Arial"/>
          <w:sz w:val="22"/>
          <w:szCs w:val="22"/>
          <w:shd w:val="clear" w:fill="auto"/>
          <w:lang w:eastAsia="pt-BR"/>
        </w:rPr>
        <w:t xml:space="preserve">, inscrita no CGC/CNPJ MF com o n. 24.672.727/0001-83, com sede na Avenida Primavera nº. 300 CEP: 78.850-000 Primavera do Leste - MT, neste ato representado pelo Vereador Presidente </w:t>
      </w:r>
      <w:r>
        <w:rPr>
          <w:rFonts w:ascii="Times New Roman" w:hAnsi="Times New Roman" w:cs="Arial" w:eastAsiaTheme="minorHAnsi"/>
          <w:sz w:val="22"/>
          <w:szCs w:val="22"/>
          <w:shd w:val="clear" w:fill="auto"/>
          <w:lang w:eastAsia="en-US"/>
        </w:rPr>
        <w:t>Valdecir Alventino da Silva</w:t>
      </w:r>
      <w:r>
        <w:rPr>
          <w:rFonts w:ascii="Times New Roman" w:hAnsi="Times New Roman" w:eastAsia="Arial" w:cs="Times New Roman"/>
          <w:sz w:val="22"/>
          <w:szCs w:val="22"/>
          <w:shd w:val="clear" w:fill="auto"/>
        </w:rPr>
        <w:t xml:space="preserve">,  </w:t>
      </w:r>
      <w:r>
        <w:rPr>
          <w:rFonts w:ascii="Times New Roman" w:hAnsi="Times New Roman" w:eastAsia="Arial" w:cs="Times New Roman"/>
          <w:sz w:val="22"/>
          <w:szCs w:val="22"/>
        </w:rPr>
        <w:t xml:space="preserve">doravante denominado </w:t>
      </w:r>
      <w:r>
        <w:rPr>
          <w:rFonts w:ascii="Times New Roman" w:hAnsi="Times New Roman" w:eastAsia="Arial" w:cs="Times New Roman"/>
          <w:b/>
          <w:bCs/>
          <w:sz w:val="22"/>
          <w:szCs w:val="22"/>
        </w:rPr>
        <w:t>CONTRATANTE</w:t>
      </w:r>
      <w:r>
        <w:rPr>
          <w:rFonts w:ascii="Times New Roman" w:hAnsi="Times New Roman" w:eastAsia="Arial" w:cs="Times New Roman"/>
          <w:sz w:val="22"/>
          <w:szCs w:val="22"/>
        </w:rPr>
        <w:t xml:space="preserve">, e a empresa </w:t>
      </w:r>
      <w:r>
        <w:rPr>
          <w:rFonts w:ascii="Times New Roman" w:hAnsi="Times New Roman" w:eastAsia="Arial" w:cs="Times New Roman"/>
          <w:b/>
          <w:bCs/>
          <w:sz w:val="22"/>
          <w:szCs w:val="22"/>
        </w:rPr>
        <w:t>____________________</w:t>
      </w:r>
      <w:r>
        <w:rPr>
          <w:rFonts w:ascii="Times New Roman" w:hAnsi="Times New Roman" w:eastAsia="Arial" w:cs="Times New Roman"/>
          <w:sz w:val="22"/>
          <w:szCs w:val="22"/>
        </w:rPr>
        <w:t xml:space="preserve">, inscrita no CNPJ sob o nº ____________________, sediado(a) na ______________________________ em __________________________ doravante designado </w:t>
      </w:r>
      <w:r>
        <w:rPr>
          <w:rFonts w:ascii="Times New Roman" w:hAnsi="Times New Roman" w:eastAsia="Arial" w:cs="Times New Roman"/>
          <w:b/>
          <w:bCs/>
          <w:sz w:val="22"/>
          <w:szCs w:val="22"/>
        </w:rPr>
        <w:t>CONTRATADA</w:t>
      </w:r>
      <w:r>
        <w:rPr>
          <w:rFonts w:ascii="Times New Roman" w:hAnsi="Times New Roman" w:eastAsia="Arial" w:cs="Times New Roman"/>
          <w:sz w:val="22"/>
          <w:szCs w:val="22"/>
        </w:rPr>
        <w:t>, neste ato representado(a) por XXXXXXXXXXX (nome e função no contratado), conforme atos constitutivos da empresa,</w:t>
      </w:r>
      <w:r>
        <w:rPr>
          <w:rFonts w:ascii="Times New Roman" w:hAnsi="Times New Roman" w:eastAsia="Arial" w:cs="Times New Roman"/>
          <w:i/>
          <w:iCs/>
          <w:color w:val="FF0000"/>
          <w:sz w:val="22"/>
          <w:szCs w:val="22"/>
        </w:rPr>
        <w:t xml:space="preserve"> </w:t>
      </w:r>
      <w:r>
        <w:rPr>
          <w:rFonts w:ascii="Times New Roman" w:hAnsi="Times New Roman" w:eastAsia="Arial" w:cs="Times New Roman"/>
          <w:sz w:val="22"/>
          <w:szCs w:val="22"/>
        </w:rPr>
        <w:t xml:space="preserve">tendo em vista o que consta no Processo Administrativo SEI nº </w:t>
      </w:r>
      <w:r>
        <w:rPr>
          <w:rFonts w:ascii="Times New Roman" w:hAnsi="Times New Roman" w:cs="Times New Roman"/>
          <w:sz w:val="22"/>
          <w:szCs w:val="22"/>
        </w:rPr>
        <w:t xml:space="preserve">05941.2023-3 </w:t>
      </w:r>
      <w:r>
        <w:rPr>
          <w:rFonts w:ascii="Times New Roman" w:hAnsi="Times New Roman" w:eastAsia="Arial" w:cs="Times New Roman"/>
          <w:sz w:val="22"/>
          <w:szCs w:val="22"/>
        </w:rPr>
        <w:t xml:space="preserve">e em observância às disposições da </w:t>
      </w:r>
      <w:r>
        <w:fldChar w:fldCharType="begin"/>
      </w:r>
      <w:r>
        <w:instrText xml:space="preserve"> HYPERLINK "http://www.planalto.gov.br/ccivil_03/_ato2019-2022/2021/lei/L14133.htm" \h </w:instrText>
      </w:r>
      <w:r>
        <w:fldChar w:fldCharType="separate"/>
      </w:r>
      <w:r>
        <w:rPr>
          <w:rStyle w:val="54"/>
          <w:rFonts w:ascii="Times New Roman" w:hAnsi="Times New Roman" w:eastAsia="Arial"/>
          <w:sz w:val="22"/>
          <w:szCs w:val="22"/>
        </w:rPr>
        <w:t>Lei Federal nº 14.133, de 2021</w:t>
      </w:r>
      <w:r>
        <w:rPr>
          <w:rStyle w:val="54"/>
          <w:rFonts w:ascii="Times New Roman" w:hAnsi="Times New Roman" w:eastAsia="Arial"/>
          <w:sz w:val="22"/>
          <w:szCs w:val="22"/>
        </w:rPr>
        <w:fldChar w:fldCharType="end"/>
      </w:r>
      <w:r>
        <w:rPr>
          <w:rFonts w:ascii="Times New Roman" w:hAnsi="Times New Roman" w:eastAsia="Arial" w:cs="Times New Roman"/>
          <w:sz w:val="22"/>
          <w:szCs w:val="22"/>
        </w:rPr>
        <w:t>, e demais legislação aplicável, resolvem celebrar o presente Termo de Contrato, decorrente do Pregão nº 004/2024</w:t>
      </w:r>
      <w:r>
        <w:rPr>
          <w:rFonts w:ascii="Times New Roman" w:hAnsi="Times New Roman" w:eastAsia="Arial" w:cs="Times New Roman"/>
          <w:sz w:val="22"/>
          <w:szCs w:val="22"/>
          <w:shd w:val="clear" w:fill="auto"/>
        </w:rPr>
        <w:t>,</w:t>
      </w:r>
      <w:r>
        <w:rPr>
          <w:rFonts w:ascii="Times New Roman" w:hAnsi="Times New Roman" w:eastAsia="Arial" w:cs="Times New Roman"/>
          <w:sz w:val="22"/>
          <w:szCs w:val="22"/>
        </w:rPr>
        <w:t xml:space="preserve"> mediante as cláusulas e condições a seguir enunciadas.</w:t>
      </w:r>
    </w:p>
    <w:p>
      <w:pPr>
        <w:pStyle w:val="28"/>
        <w:numPr>
          <w:ilvl w:val="0"/>
          <w:numId w:val="17"/>
        </w:numPr>
        <w:pBdr>
          <w:bottom w:val="single" w:color="000000" w:themeColor="dark1" w:sz="4" w:space="1"/>
        </w:pBdr>
        <w:shd w:val="clear" w:color="auto" w:fill="BEBEBE" w:themeFill="background1" w:themeFillShade="BF"/>
        <w:spacing w:before="360" w:beforeAutospacing="0" w:after="0" w:afterAutospacing="0"/>
        <w:jc w:val="both"/>
      </w:pPr>
      <w:r>
        <w:rPr>
          <w:rStyle w:val="11"/>
          <w:color w:val="000000"/>
          <w:sz w:val="22"/>
          <w:szCs w:val="22"/>
        </w:rPr>
        <w:t>OBJETO</w:t>
      </w:r>
      <w:r>
        <w:rPr>
          <w:sz w:val="22"/>
          <w:szCs w:val="22"/>
        </w:rPr>
        <w:t xml:space="preserve"> (</w:t>
      </w:r>
      <w:r>
        <w:fldChar w:fldCharType="begin"/>
      </w:r>
      <w:r>
        <w:rPr>
          <w:rStyle w:val="54"/>
          <w:sz w:val="22"/>
          <w:szCs w:val="22"/>
        </w:rPr>
        <w:instrText xml:space="preserve"> HYPERLINK "http://www.planalto.gov.br/ccivil_03/_ato2019-2022/2021/lei/L14133.htm" \l "art92"</w:instrText>
      </w:r>
      <w:r>
        <w:rPr>
          <w:rStyle w:val="54"/>
          <w:sz w:val="22"/>
          <w:szCs w:val="22"/>
        </w:rPr>
        <w:fldChar w:fldCharType="separate"/>
      </w:r>
      <w:r>
        <w:rPr>
          <w:rStyle w:val="54"/>
          <w:sz w:val="22"/>
          <w:szCs w:val="22"/>
        </w:rPr>
        <w:t>art. 92, I e II</w:t>
      </w:r>
      <w:r>
        <w:rPr>
          <w:rStyle w:val="54"/>
          <w:sz w:val="22"/>
          <w:szCs w:val="22"/>
        </w:rPr>
        <w:fldChar w:fldCharType="end"/>
      </w:r>
      <w:r>
        <w:rPr>
          <w:rStyle w:val="54"/>
          <w:sz w:val="22"/>
          <w:szCs w:val="22"/>
        </w:rPr>
        <w:t>, da Lei Federal nº 14.133, de 2021</w:t>
      </w:r>
      <w:r>
        <w:rPr>
          <w:sz w:val="22"/>
          <w:szCs w:val="22"/>
        </w:rPr>
        <w:t>)</w:t>
      </w:r>
    </w:p>
    <w:p>
      <w:pPr>
        <w:pStyle w:val="28"/>
        <w:numPr>
          <w:ilvl w:val="1"/>
          <w:numId w:val="17"/>
        </w:numPr>
        <w:tabs>
          <w:tab w:val="left" w:pos="993"/>
        </w:tabs>
        <w:spacing w:before="0" w:beforeAutospacing="0" w:after="120" w:afterAutospacing="0"/>
        <w:ind w:left="0" w:firstLine="567"/>
        <w:jc w:val="both"/>
        <w:rPr>
          <w:rFonts w:ascii="Times New Roman" w:hAnsi="Times New Roman"/>
          <w:sz w:val="22"/>
          <w:szCs w:val="22"/>
          <w:highlight w:val="none"/>
        </w:rPr>
      </w:pPr>
      <w:r>
        <w:rPr>
          <w:sz w:val="22"/>
          <w:szCs w:val="22"/>
        </w:rPr>
        <w:t>O objeto do presente instrumento é a c</w:t>
      </w:r>
      <w:r>
        <w:rPr>
          <w:color w:val="000000"/>
          <w:sz w:val="22"/>
          <w:szCs w:val="22"/>
        </w:rPr>
        <w:t xml:space="preserve">ontratação, pelo </w:t>
      </w:r>
      <w:r>
        <w:rPr>
          <w:sz w:val="22"/>
          <w:szCs w:val="22"/>
        </w:rPr>
        <w:t xml:space="preserve">Sistema de Registro de Preços, </w:t>
      </w:r>
      <w:r>
        <w:rPr>
          <w:color w:val="000000"/>
          <w:sz w:val="22"/>
          <w:szCs w:val="22"/>
        </w:rPr>
        <w:t xml:space="preserve">para  </w:t>
      </w:r>
      <w:r>
        <w:rPr>
          <w:b/>
          <w:bCs/>
          <w:color w:val="000000"/>
          <w:sz w:val="22"/>
          <w:szCs w:val="22"/>
        </w:rPr>
        <w:t>C</w:t>
      </w:r>
      <w:r>
        <w:rPr>
          <w:rFonts w:cs="Times New Roman"/>
          <w:b/>
          <w:bCs/>
          <w:color w:val="000000"/>
          <w:sz w:val="22"/>
          <w:szCs w:val="22"/>
        </w:rPr>
        <w:t>ontratação de Empresa especializada em fornecimento de sistema vídeo com instalação a serem disponibilizados na Câmara Municipal de Primavera do Leste-MT</w:t>
      </w:r>
      <w:r>
        <w:rPr>
          <w:b/>
          <w:bCs/>
          <w:color w:val="000000"/>
          <w:kern w:val="0"/>
          <w:sz w:val="22"/>
          <w:szCs w:val="22"/>
          <w:shd w:val="clear" w:fill="auto"/>
          <w:lang w:val="pt-BR" w:bidi="ar-SA"/>
        </w:rPr>
        <w:t>,</w:t>
      </w:r>
      <w:r>
        <w:rPr>
          <w:sz w:val="22"/>
          <w:szCs w:val="22"/>
        </w:rPr>
        <w:t xml:space="preserve"> conforme quadro a seguir:</w:t>
      </w:r>
    </w:p>
    <w:tbl>
      <w:tblPr>
        <w:tblStyle w:val="9"/>
        <w:tblW w:w="8921" w:type="dxa"/>
        <w:tblInd w:w="0" w:type="dxa"/>
        <w:tblLayout w:type="fixed"/>
        <w:tblCellMar>
          <w:top w:w="0" w:type="dxa"/>
          <w:left w:w="28" w:type="dxa"/>
          <w:bottom w:w="0" w:type="dxa"/>
          <w:right w:w="28" w:type="dxa"/>
        </w:tblCellMar>
      </w:tblPr>
      <w:tblGrid>
        <w:gridCol w:w="716"/>
        <w:gridCol w:w="1706"/>
        <w:gridCol w:w="1091"/>
        <w:gridCol w:w="1321"/>
        <w:gridCol w:w="1399"/>
        <w:gridCol w:w="1133"/>
        <w:gridCol w:w="1554"/>
      </w:tblGrid>
      <w:tr>
        <w:tblPrEx>
          <w:tblCellMar>
            <w:top w:w="0" w:type="dxa"/>
            <w:left w:w="28" w:type="dxa"/>
            <w:bottom w:w="0" w:type="dxa"/>
            <w:right w:w="28" w:type="dxa"/>
          </w:tblCellMar>
        </w:tblPrEx>
        <w:trPr>
          <w:tblHeader/>
        </w:trPr>
        <w:tc>
          <w:tcPr>
            <w:tcW w:w="716" w:type="dxa"/>
            <w:tcBorders>
              <w:top w:val="single" w:color="000000" w:sz="4" w:space="0"/>
              <w:left w:val="single" w:color="000000" w:sz="4"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Item</w:t>
            </w:r>
          </w:p>
        </w:tc>
        <w:tc>
          <w:tcPr>
            <w:tcW w:w="1706"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Especificação</w:t>
            </w:r>
          </w:p>
        </w:tc>
        <w:tc>
          <w:tcPr>
            <w:tcW w:w="1091"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Catálogo</w:t>
            </w:r>
          </w:p>
        </w:tc>
        <w:tc>
          <w:tcPr>
            <w:tcW w:w="1321"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Unidade de Medida</w:t>
            </w:r>
          </w:p>
        </w:tc>
        <w:tc>
          <w:tcPr>
            <w:tcW w:w="1399"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Quantidade Estimada</w:t>
            </w:r>
          </w:p>
        </w:tc>
        <w:tc>
          <w:tcPr>
            <w:tcW w:w="1133"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Valor Unitário</w:t>
            </w:r>
          </w:p>
        </w:tc>
        <w:tc>
          <w:tcPr>
            <w:tcW w:w="1554" w:type="dxa"/>
            <w:tcBorders>
              <w:top w:val="single" w:color="000000" w:sz="4" w:space="0"/>
              <w:left w:val="single" w:color="000000" w:sz="6" w:space="0"/>
              <w:bottom w:val="single" w:color="000000" w:sz="6" w:space="0"/>
              <w:right w:val="single" w:color="000000" w:sz="4"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Valor Total</w:t>
            </w:r>
          </w:p>
        </w:tc>
      </w:tr>
      <w:tr>
        <w:tblPrEx>
          <w:tblCellMar>
            <w:top w:w="0" w:type="dxa"/>
            <w:left w:w="28" w:type="dxa"/>
            <w:bottom w:w="0" w:type="dxa"/>
            <w:right w:w="28" w:type="dxa"/>
          </w:tblCellMar>
        </w:tblPrEx>
        <w:tc>
          <w:tcPr>
            <w:tcW w:w="716" w:type="dxa"/>
            <w:tcBorders>
              <w:top w:val="single" w:color="000000" w:sz="6" w:space="0"/>
              <w:left w:val="single" w:color="000000" w:sz="4" w:space="0"/>
              <w:bottom w:val="single" w:color="000000" w:sz="4" w:space="0"/>
              <w:right w:val="single" w:color="000000" w:sz="6"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Único</w:t>
            </w:r>
          </w:p>
        </w:tc>
        <w:tc>
          <w:tcPr>
            <w:tcW w:w="1706" w:type="dxa"/>
            <w:tcBorders>
              <w:top w:val="single" w:color="000000" w:sz="6" w:space="0"/>
              <w:left w:val="single" w:color="000000" w:sz="6" w:space="0"/>
              <w:bottom w:val="single" w:color="000000" w:sz="4" w:space="0"/>
              <w:right w:val="single" w:color="000000" w:sz="6"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XXX</w:t>
            </w:r>
          </w:p>
        </w:tc>
        <w:tc>
          <w:tcPr>
            <w:tcW w:w="1091" w:type="dxa"/>
            <w:tcBorders>
              <w:top w:val="single" w:color="000000" w:sz="6" w:space="0"/>
              <w:left w:val="single" w:color="000000" w:sz="6" w:space="0"/>
              <w:bottom w:val="single" w:color="000000" w:sz="4" w:space="0"/>
              <w:right w:val="single" w:color="000000" w:sz="6"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321" w:type="dxa"/>
            <w:tcBorders>
              <w:top w:val="single" w:color="000000" w:sz="6" w:space="0"/>
              <w:left w:val="single" w:color="000000" w:sz="6" w:space="0"/>
              <w:bottom w:val="single" w:color="000000" w:sz="4" w:space="0"/>
              <w:right w:val="single" w:color="000000" w:sz="6"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399" w:type="dxa"/>
            <w:tcBorders>
              <w:top w:val="single" w:color="000000" w:sz="6" w:space="0"/>
              <w:left w:val="single" w:color="000000" w:sz="6" w:space="0"/>
              <w:bottom w:val="single" w:color="000000" w:sz="4" w:space="0"/>
              <w:right w:val="single" w:color="000000" w:sz="6"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133" w:type="dxa"/>
            <w:tcBorders>
              <w:top w:val="single" w:color="000000" w:sz="6" w:space="0"/>
              <w:left w:val="single" w:color="000000" w:sz="6" w:space="0"/>
              <w:bottom w:val="single" w:color="000000" w:sz="4" w:space="0"/>
              <w:right w:val="single" w:color="000000" w:sz="6"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w:t>
            </w:r>
            <w:r>
              <w:rPr>
                <w:rFonts w:ascii="Times New Roman" w:hAnsi="Times New Roman" w:eastAsia="Arial" w:cs="Times New Roman"/>
                <w:color w:val="000000"/>
                <w:sz w:val="22"/>
                <w:szCs w:val="22"/>
                <w:highlight w:val="none"/>
              </w:rPr>
              <w:t>R$ xxxxx</w:t>
            </w:r>
          </w:p>
        </w:tc>
        <w:tc>
          <w:tcPr>
            <w:tcW w:w="1554" w:type="dxa"/>
            <w:tcBorders>
              <w:top w:val="single" w:color="000000" w:sz="6" w:space="0"/>
              <w:left w:val="single" w:color="000000" w:sz="6" w:space="0"/>
              <w:bottom w:val="single" w:color="000000" w:sz="4" w:space="0"/>
              <w:right w:val="single" w:color="000000" w:sz="4"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w:t>
            </w:r>
            <w:r>
              <w:rPr>
                <w:rFonts w:ascii="Times New Roman" w:hAnsi="Times New Roman" w:eastAsia="Arial" w:cs="Times New Roman"/>
                <w:color w:val="000000"/>
                <w:sz w:val="22"/>
                <w:szCs w:val="22"/>
                <w:highlight w:val="none"/>
              </w:rPr>
              <w:t>R$xxxxxxx</w:t>
            </w:r>
          </w:p>
        </w:tc>
      </w:tr>
    </w:tbl>
    <w:p>
      <w:pPr>
        <w:pStyle w:val="28"/>
        <w:numPr>
          <w:ilvl w:val="1"/>
          <w:numId w:val="17"/>
        </w:numPr>
        <w:tabs>
          <w:tab w:val="left" w:pos="993"/>
        </w:tabs>
        <w:spacing w:before="120" w:beforeAutospacing="0" w:after="0" w:afterAutospacing="0"/>
        <w:ind w:left="0" w:firstLine="567"/>
        <w:jc w:val="both"/>
        <w:rPr>
          <w:rFonts w:ascii="Times New Roman" w:hAnsi="Times New Roman"/>
          <w:sz w:val="22"/>
          <w:szCs w:val="22"/>
        </w:rPr>
      </w:pPr>
      <w:r>
        <w:rPr>
          <w:sz w:val="22"/>
          <w:szCs w:val="22"/>
          <w:highlight w:val="none"/>
        </w:rPr>
        <w:t>Como a presente contratação é d</w:t>
      </w:r>
      <w:r>
        <w:rPr>
          <w:sz w:val="22"/>
          <w:szCs w:val="22"/>
        </w:rPr>
        <w:t>ecorrente de Ata de Registro de Preços, poderá haver a emissão de novos empenhos adicionais, dentro da vigência da referida ARP, que serão registrados por intermédio de apostilamento e farão parte integrante do presente contrato.</w:t>
      </w:r>
    </w:p>
    <w:p>
      <w:pPr>
        <w:pStyle w:val="28"/>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Fazem parte integrante do presente Termo de Contrato e a ele se vinculam, independentemente de transcrição:</w:t>
      </w:r>
    </w:p>
    <w:p>
      <w:pPr>
        <w:pStyle w:val="28"/>
        <w:numPr>
          <w:ilvl w:val="0"/>
          <w:numId w:val="0"/>
        </w:numPr>
        <w:tabs>
          <w:tab w:val="left" w:pos="993"/>
        </w:tabs>
        <w:spacing w:before="0" w:beforeAutospacing="0" w:after="0" w:afterAutospacing="0"/>
        <w:ind w:left="0" w:firstLine="0"/>
        <w:jc w:val="both"/>
        <w:rPr>
          <w:rFonts w:ascii="Times New Roman" w:hAnsi="Times New Roman"/>
          <w:sz w:val="22"/>
          <w:szCs w:val="22"/>
        </w:rPr>
      </w:pPr>
    </w:p>
    <w:p>
      <w:pPr>
        <w:pStyle w:val="28"/>
        <w:numPr>
          <w:ilvl w:val="2"/>
          <w:numId w:val="17"/>
        </w:numPr>
        <w:tabs>
          <w:tab w:val="left" w:pos="993"/>
        </w:tabs>
        <w:spacing w:before="0" w:beforeAutospacing="0" w:after="0" w:afterAutospacing="0"/>
        <w:ind w:left="1077" w:hanging="357"/>
        <w:jc w:val="both"/>
      </w:pPr>
      <w:r>
        <w:rPr>
          <w:sz w:val="22"/>
          <w:szCs w:val="22"/>
        </w:rPr>
        <w:t xml:space="preserve">O </w:t>
      </w:r>
      <w:r>
        <w:rPr>
          <w:rStyle w:val="45"/>
          <w:color w:val="000000"/>
          <w:sz w:val="22"/>
          <w:szCs w:val="22"/>
        </w:rPr>
        <w:t>Termo de Referência</w:t>
      </w:r>
      <w:r>
        <w:rPr>
          <w:sz w:val="22"/>
          <w:szCs w:val="22"/>
        </w:rPr>
        <w:t>;</w:t>
      </w:r>
    </w:p>
    <w:p>
      <w:pPr>
        <w:pStyle w:val="28"/>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 xml:space="preserve">O Edital do </w:t>
      </w:r>
      <w:r>
        <w:rPr>
          <w:rFonts w:eastAsia="Arial"/>
          <w:sz w:val="22"/>
          <w:szCs w:val="22"/>
        </w:rPr>
        <w:t>Pregão nº 004/2024</w:t>
      </w:r>
      <w:r>
        <w:rPr>
          <w:rFonts w:eastAsiaTheme="minorHAnsi" w:cstheme="minorBidi"/>
          <w:color w:val="000000"/>
          <w:sz w:val="22"/>
          <w:szCs w:val="22"/>
          <w:shd w:val="clear" w:fill="auto"/>
        </w:rPr>
        <w:t>;</w:t>
      </w:r>
    </w:p>
    <w:p>
      <w:pPr>
        <w:pStyle w:val="28"/>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A Proposta da Contratada;</w:t>
      </w:r>
    </w:p>
    <w:p>
      <w:pPr>
        <w:pStyle w:val="28"/>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 xml:space="preserve">As Notas de Empenho emitidas a partir da ARP nº </w:t>
      </w:r>
      <w:r>
        <w:rPr>
          <w:rFonts w:eastAsiaTheme="minorHAnsi" w:cstheme="minorBidi"/>
          <w:sz w:val="22"/>
          <w:szCs w:val="22"/>
          <w:shd w:val="clear" w:fill="auto"/>
        </w:rPr>
        <w:t>003/2024;</w:t>
      </w:r>
    </w:p>
    <w:p>
      <w:pPr>
        <w:pStyle w:val="28"/>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Eventuais anexos dos documentos supracitados.</w:t>
      </w:r>
    </w:p>
    <w:p>
      <w:pPr>
        <w:pStyle w:val="28"/>
        <w:numPr>
          <w:ilvl w:val="0"/>
          <w:numId w:val="0"/>
        </w:numPr>
        <w:tabs>
          <w:tab w:val="left" w:pos="993"/>
        </w:tabs>
        <w:spacing w:before="0" w:beforeAutospacing="0" w:after="0" w:afterAutospacing="0"/>
        <w:ind w:left="1080" w:firstLine="0"/>
        <w:jc w:val="both"/>
        <w:rPr>
          <w:rFonts w:ascii="Times New Roman" w:hAnsi="Times New Roman"/>
          <w:sz w:val="22"/>
          <w:szCs w:val="22"/>
        </w:rPr>
      </w:pPr>
    </w:p>
    <w:p>
      <w:pPr>
        <w:pStyle w:val="28"/>
        <w:numPr>
          <w:ilvl w:val="0"/>
          <w:numId w:val="17"/>
        </w:numPr>
        <w:pBdr>
          <w:bottom w:val="single" w:color="000000" w:themeColor="dark1" w:sz="4" w:space="1"/>
        </w:pBdr>
        <w:shd w:val="clear" w:color="auto" w:fill="BEBEBE" w:themeFill="background1" w:themeFillShade="BF"/>
        <w:spacing w:before="0" w:beforeAutospacing="0" w:after="0" w:afterAutospacing="0"/>
        <w:jc w:val="both"/>
      </w:pPr>
      <w:r>
        <w:rPr>
          <w:rStyle w:val="11"/>
          <w:color w:val="000000"/>
          <w:sz w:val="22"/>
          <w:szCs w:val="22"/>
        </w:rPr>
        <w:t>VIGÊNCIA E PRORROGAÇÃO</w:t>
      </w:r>
    </w:p>
    <w:p>
      <w:pPr>
        <w:pStyle w:val="28"/>
        <w:numPr>
          <w:ilvl w:val="1"/>
          <w:numId w:val="17"/>
        </w:numPr>
        <w:tabs>
          <w:tab w:val="left" w:pos="993"/>
        </w:tabs>
        <w:spacing w:before="0" w:beforeAutospacing="0" w:after="0" w:afterAutospacing="0"/>
        <w:ind w:left="0" w:firstLine="567"/>
        <w:jc w:val="both"/>
      </w:pPr>
      <w:r>
        <w:rPr>
          <w:sz w:val="22"/>
          <w:szCs w:val="22"/>
        </w:rPr>
        <w:t>O prazo de vigência da contratação é de 1 (um) ano contado da contratação, sendo automaticamente prorrogado, independentemente de termo aditivo, quando o objeto não for concluído no período firmado acima (</w:t>
      </w:r>
      <w:r>
        <w:fldChar w:fldCharType="begin"/>
      </w:r>
      <w:r>
        <w:rPr>
          <w:rStyle w:val="54"/>
          <w:sz w:val="22"/>
          <w:szCs w:val="22"/>
        </w:rPr>
        <w:instrText xml:space="preserve"> HYPERLINK "http://www.planalto.gov.br/ccivil_03/_ato2019-2022/2021/lei/L14133.htm" \l "art111"</w:instrText>
      </w:r>
      <w:r>
        <w:rPr>
          <w:rStyle w:val="54"/>
          <w:sz w:val="22"/>
          <w:szCs w:val="22"/>
        </w:rPr>
        <w:fldChar w:fldCharType="separate"/>
      </w:r>
      <w:r>
        <w:rPr>
          <w:rStyle w:val="54"/>
          <w:sz w:val="22"/>
          <w:szCs w:val="22"/>
        </w:rPr>
        <w:t>art. 111 da Lei Federal nº 14.133, de 2021</w:t>
      </w:r>
      <w:r>
        <w:rPr>
          <w:rStyle w:val="54"/>
          <w:sz w:val="22"/>
          <w:szCs w:val="22"/>
        </w:rPr>
        <w:fldChar w:fldCharType="end"/>
      </w:r>
      <w:r>
        <w:rPr>
          <w:sz w:val="22"/>
          <w:szCs w:val="22"/>
        </w:rPr>
        <w:t>), ressalvadas as providências cabíveis no caso de culpa da Contratada, previstas neste instrumento.</w:t>
      </w:r>
    </w:p>
    <w:p>
      <w:pPr>
        <w:pStyle w:val="28"/>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não tem direito subjetivo à prorrogação contratual.</w:t>
      </w:r>
    </w:p>
    <w:p>
      <w:pPr>
        <w:pStyle w:val="28"/>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A prorrogação de contrato, sempre que possível, deverá ser promovida mediante celebração de termo aditivo. </w:t>
      </w:r>
    </w:p>
    <w:p>
      <w:pPr>
        <w:pStyle w:val="28"/>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Nas eventuais prorrogações contratuais, os custos não renováveis já pagos ou amortizados ao longo do primeiro período de vigência da contratação deverão ser reduzidos ou eliminados como condição para a renovação.</w:t>
      </w:r>
    </w:p>
    <w:p>
      <w:pPr>
        <w:pStyle w:val="28"/>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O contrato não poderá ser prorrogado quando a Contratada tiver sido penalizada nas sanções de declaração de inidoneidade ou impedimento de licitar e contratar com poder público, observadas as abrangências de aplicação.</w:t>
      </w:r>
    </w:p>
    <w:p>
      <w:pPr>
        <w:pStyle w:val="28"/>
        <w:numPr>
          <w:ilvl w:val="0"/>
          <w:numId w:val="17"/>
        </w:numPr>
        <w:pBdr>
          <w:bottom w:val="single" w:color="000000" w:themeColor="dark1" w:sz="4" w:space="1"/>
        </w:pBdr>
        <w:shd w:val="clear" w:color="auto" w:fill="BEBEBE" w:themeFill="background1" w:themeFillShade="BF"/>
        <w:spacing w:before="0" w:beforeAutospacing="0" w:after="0" w:afterAutospacing="0"/>
        <w:jc w:val="both"/>
      </w:pPr>
      <w:bookmarkStart w:id="72" w:name="_Hlk114497577"/>
      <w:bookmarkEnd w:id="72"/>
      <w:bookmarkStart w:id="73" w:name="_Hlk114497502"/>
      <w:bookmarkEnd w:id="73"/>
      <w:r>
        <w:rPr>
          <w:rStyle w:val="11"/>
          <w:color w:val="000000"/>
          <w:sz w:val="22"/>
          <w:szCs w:val="22"/>
        </w:rPr>
        <w:t>LEGISLAÇÃO APLICÁVEL</w:t>
      </w:r>
      <w:r>
        <w:rPr>
          <w:sz w:val="22"/>
          <w:szCs w:val="22"/>
        </w:rPr>
        <w:t xml:space="preserve"> (</w:t>
      </w:r>
      <w:r>
        <w:fldChar w:fldCharType="begin"/>
      </w:r>
      <w:r>
        <w:rPr>
          <w:rStyle w:val="54"/>
          <w:sz w:val="22"/>
          <w:szCs w:val="22"/>
        </w:rPr>
        <w:instrText xml:space="preserve"> HYPERLINK "http://www.planalto.gov.br/ccivil_03/_ato2019-2022/2021/lei/L14133.htm" \l "art92"</w:instrText>
      </w:r>
      <w:r>
        <w:rPr>
          <w:rStyle w:val="54"/>
          <w:sz w:val="22"/>
          <w:szCs w:val="22"/>
        </w:rPr>
        <w:fldChar w:fldCharType="separate"/>
      </w:r>
      <w:r>
        <w:rPr>
          <w:rStyle w:val="54"/>
          <w:sz w:val="22"/>
          <w:szCs w:val="22"/>
        </w:rPr>
        <w:t>art. 92, III, da Lei Federal nº 14.133, de 2021)</w:t>
      </w:r>
      <w:r>
        <w:rPr>
          <w:rStyle w:val="54"/>
          <w:sz w:val="22"/>
          <w:szCs w:val="22"/>
        </w:rPr>
        <w:fldChar w:fldCharType="end"/>
      </w:r>
    </w:p>
    <w:p>
      <w:pPr>
        <w:pStyle w:val="28"/>
        <w:numPr>
          <w:ilvl w:val="1"/>
          <w:numId w:val="17"/>
        </w:numPr>
        <w:tabs>
          <w:tab w:val="left" w:pos="993"/>
        </w:tabs>
        <w:spacing w:before="0" w:beforeAutospacing="0" w:after="0" w:afterAutospacing="0"/>
        <w:ind w:left="0" w:firstLine="567"/>
        <w:jc w:val="both"/>
      </w:pPr>
      <w:r>
        <w:rPr>
          <w:sz w:val="22"/>
          <w:szCs w:val="22"/>
        </w:rPr>
        <w:t xml:space="preserve">O presente Termo de Contrato se vincula à </w:t>
      </w:r>
      <w:r>
        <w:fldChar w:fldCharType="begin"/>
      </w:r>
      <w:r>
        <w:instrText xml:space="preserve"> HYPERLINK "http://www.planalto.gov.br/ccivil_03/_ato2019-2022/2021/lei/L14133.htm" \h </w:instrText>
      </w:r>
      <w:r>
        <w:fldChar w:fldCharType="separate"/>
      </w:r>
      <w:r>
        <w:rPr>
          <w:rStyle w:val="54"/>
          <w:sz w:val="22"/>
          <w:szCs w:val="22"/>
        </w:rPr>
        <w:t>Lei Federal nº 14.133, de 2021</w:t>
      </w:r>
      <w:r>
        <w:rPr>
          <w:rStyle w:val="54"/>
          <w:sz w:val="22"/>
          <w:szCs w:val="22"/>
        </w:rPr>
        <w:fldChar w:fldCharType="end"/>
      </w:r>
      <w:r>
        <w:rPr>
          <w:sz w:val="22"/>
          <w:szCs w:val="22"/>
        </w:rPr>
        <w:t>, e, subsidiariamente, às seguintes leis:</w:t>
      </w:r>
    </w:p>
    <w:p>
      <w:pPr>
        <w:pStyle w:val="28"/>
        <w:numPr>
          <w:ilvl w:val="2"/>
          <w:numId w:val="17"/>
        </w:numPr>
        <w:tabs>
          <w:tab w:val="left" w:pos="993"/>
        </w:tabs>
        <w:spacing w:before="0" w:beforeAutospacing="0" w:after="0" w:afterAutospacing="0"/>
        <w:jc w:val="both"/>
      </w:pPr>
      <w:r>
        <w:fldChar w:fldCharType="begin"/>
      </w:r>
      <w:r>
        <w:instrText xml:space="preserve"> HYPERLINK "https://www.planalto.gov.br/ccivil_03/leis/lcp/lcp123.htm" \h </w:instrText>
      </w:r>
      <w:r>
        <w:fldChar w:fldCharType="separate"/>
      </w:r>
      <w:r>
        <w:rPr>
          <w:rStyle w:val="54"/>
          <w:sz w:val="22"/>
          <w:szCs w:val="22"/>
        </w:rPr>
        <w:t>Lei Complementar Federal nº 123, de 2006</w:t>
      </w:r>
      <w:r>
        <w:rPr>
          <w:rStyle w:val="54"/>
          <w:sz w:val="22"/>
          <w:szCs w:val="22"/>
        </w:rPr>
        <w:fldChar w:fldCharType="end"/>
      </w:r>
      <w:r>
        <w:rPr>
          <w:sz w:val="22"/>
          <w:szCs w:val="22"/>
        </w:rPr>
        <w:t xml:space="preserve"> (Estatuto Nacional da Microempresa e Pequena Empresa);</w:t>
      </w:r>
    </w:p>
    <w:p>
      <w:pPr>
        <w:pStyle w:val="28"/>
        <w:numPr>
          <w:ilvl w:val="2"/>
          <w:numId w:val="17"/>
        </w:numPr>
        <w:tabs>
          <w:tab w:val="left" w:pos="993"/>
        </w:tabs>
        <w:spacing w:before="0" w:beforeAutospacing="0" w:after="0" w:afterAutospacing="0"/>
        <w:jc w:val="both"/>
      </w:pPr>
      <w:r>
        <w:fldChar w:fldCharType="begin"/>
      </w:r>
      <w:r>
        <w:instrText xml:space="preserve"> HYPERLINK "https://www.planalto.gov.br/ccivil_03/leis/2002/l10406compilada.htm" \h </w:instrText>
      </w:r>
      <w:r>
        <w:fldChar w:fldCharType="separate"/>
      </w:r>
      <w:r>
        <w:rPr>
          <w:rStyle w:val="54"/>
          <w:sz w:val="22"/>
          <w:szCs w:val="22"/>
        </w:rPr>
        <w:t>Lei Federal nº 10.406, de 2002</w:t>
      </w:r>
      <w:r>
        <w:rPr>
          <w:rStyle w:val="54"/>
          <w:sz w:val="22"/>
          <w:szCs w:val="22"/>
        </w:rPr>
        <w:fldChar w:fldCharType="end"/>
      </w:r>
      <w:r>
        <w:rPr>
          <w:sz w:val="22"/>
          <w:szCs w:val="22"/>
        </w:rPr>
        <w:t xml:space="preserve"> (Código Civil);</w:t>
      </w:r>
    </w:p>
    <w:p>
      <w:pPr>
        <w:pStyle w:val="28"/>
        <w:numPr>
          <w:ilvl w:val="2"/>
          <w:numId w:val="17"/>
        </w:numPr>
        <w:tabs>
          <w:tab w:val="left" w:pos="993"/>
        </w:tabs>
        <w:spacing w:before="0" w:beforeAutospacing="0" w:after="0" w:afterAutospacing="0"/>
        <w:jc w:val="both"/>
      </w:pPr>
      <w:r>
        <w:fldChar w:fldCharType="begin"/>
      </w:r>
      <w:r>
        <w:instrText xml:space="preserve"> HYPERLINK "https://www.planalto.gov.br/ccivil_03/leis/l8078compilado.htm" \h </w:instrText>
      </w:r>
      <w:r>
        <w:fldChar w:fldCharType="separate"/>
      </w:r>
      <w:r>
        <w:rPr>
          <w:rStyle w:val="54"/>
          <w:sz w:val="22"/>
          <w:szCs w:val="22"/>
        </w:rPr>
        <w:t>Lei Federal nº 8.078, de 1990</w:t>
      </w:r>
      <w:r>
        <w:rPr>
          <w:rStyle w:val="54"/>
          <w:sz w:val="22"/>
          <w:szCs w:val="22"/>
        </w:rPr>
        <w:fldChar w:fldCharType="end"/>
      </w:r>
      <w:r>
        <w:rPr>
          <w:sz w:val="22"/>
          <w:szCs w:val="22"/>
        </w:rPr>
        <w:t xml:space="preserve"> (Código de Defesa do Consumidor);</w:t>
      </w:r>
    </w:p>
    <w:p>
      <w:pPr>
        <w:pStyle w:val="28"/>
        <w:numPr>
          <w:ilvl w:val="2"/>
          <w:numId w:val="17"/>
        </w:numPr>
        <w:tabs>
          <w:tab w:val="left" w:pos="993"/>
        </w:tabs>
        <w:spacing w:before="0" w:beforeAutospacing="0" w:after="0" w:afterAutospacing="0"/>
        <w:jc w:val="both"/>
      </w:pPr>
      <w:r>
        <w:fldChar w:fldCharType="begin"/>
      </w:r>
      <w:r>
        <w:instrText xml:space="preserve"> HYPERLINK "https://www.planalto.gov.br/ccivil_03/_ato2011-2014/2013/lei/l12846.htm" \h </w:instrText>
      </w:r>
      <w:r>
        <w:fldChar w:fldCharType="separate"/>
      </w:r>
      <w:r>
        <w:rPr>
          <w:rStyle w:val="54"/>
          <w:sz w:val="22"/>
          <w:szCs w:val="22"/>
        </w:rPr>
        <w:t>Lei Federal nº 12.846, de 2013</w:t>
      </w:r>
      <w:r>
        <w:rPr>
          <w:rStyle w:val="54"/>
          <w:sz w:val="22"/>
          <w:szCs w:val="22"/>
        </w:rPr>
        <w:fldChar w:fldCharType="end"/>
      </w:r>
      <w:r>
        <w:rPr>
          <w:sz w:val="22"/>
          <w:szCs w:val="22"/>
        </w:rPr>
        <w:t xml:space="preserve"> (Dispõe sobre a responsabilização administrativa e civil de pessoas jurídicas pela prática de atos contra a administração pública, nacional ou estrangeira, e dá outras providências);</w:t>
      </w:r>
    </w:p>
    <w:p>
      <w:pPr>
        <w:pStyle w:val="28"/>
        <w:numPr>
          <w:ilvl w:val="2"/>
          <w:numId w:val="17"/>
        </w:numPr>
        <w:tabs>
          <w:tab w:val="left" w:pos="993"/>
        </w:tabs>
        <w:spacing w:before="0" w:beforeAutospacing="0" w:after="0" w:afterAutospacing="0"/>
        <w:jc w:val="both"/>
      </w:pPr>
      <w:r>
        <w:fldChar w:fldCharType="begin"/>
      </w:r>
      <w:r>
        <w:instrText xml:space="preserve"> HYPERLINK "https://www.planalto.gov.br/ccivil_03/_ato2011-2014/2011/lei/l12527.htm" \h </w:instrText>
      </w:r>
      <w:r>
        <w:fldChar w:fldCharType="separate"/>
      </w:r>
      <w:r>
        <w:rPr>
          <w:rStyle w:val="54"/>
          <w:sz w:val="22"/>
          <w:szCs w:val="22"/>
        </w:rPr>
        <w:t>Lei Federal nº 12.527, de 2011</w:t>
      </w:r>
      <w:r>
        <w:rPr>
          <w:rStyle w:val="54"/>
          <w:sz w:val="22"/>
          <w:szCs w:val="22"/>
        </w:rPr>
        <w:fldChar w:fldCharType="end"/>
      </w:r>
      <w:r>
        <w:rPr>
          <w:sz w:val="22"/>
          <w:szCs w:val="22"/>
        </w:rPr>
        <w:t xml:space="preserve"> (Lei de Acesso à Informação);</w:t>
      </w:r>
    </w:p>
    <w:p>
      <w:pPr>
        <w:pStyle w:val="28"/>
        <w:numPr>
          <w:ilvl w:val="2"/>
          <w:numId w:val="17"/>
        </w:numPr>
        <w:tabs>
          <w:tab w:val="left" w:pos="993"/>
        </w:tabs>
        <w:spacing w:before="0" w:beforeAutospacing="0" w:after="0" w:afterAutospacing="0"/>
        <w:jc w:val="both"/>
      </w:pPr>
      <w:r>
        <w:fldChar w:fldCharType="begin"/>
      </w:r>
      <w:r>
        <w:instrText xml:space="preserve"> HYPERLINK "https://www.planalto.gov.br/ccivil_03/_ato2015-2018/2018/lei/l13709.htm" \h </w:instrText>
      </w:r>
      <w:r>
        <w:fldChar w:fldCharType="separate"/>
      </w:r>
      <w:r>
        <w:rPr>
          <w:rStyle w:val="54"/>
          <w:sz w:val="22"/>
          <w:szCs w:val="22"/>
        </w:rPr>
        <w:t>Lei Federal nº 13.709, de 2018</w:t>
      </w:r>
      <w:r>
        <w:rPr>
          <w:rStyle w:val="54"/>
          <w:sz w:val="22"/>
          <w:szCs w:val="22"/>
        </w:rPr>
        <w:fldChar w:fldCharType="end"/>
      </w:r>
      <w:r>
        <w:rPr>
          <w:sz w:val="22"/>
          <w:szCs w:val="22"/>
        </w:rPr>
        <w:t xml:space="preserve"> (Lei Geral de Proteção de Dados - LGPD).</w:t>
      </w:r>
    </w:p>
    <w:p>
      <w:pPr>
        <w:pStyle w:val="28"/>
        <w:numPr>
          <w:ilvl w:val="0"/>
          <w:numId w:val="17"/>
        </w:numPr>
        <w:pBdr>
          <w:bottom w:val="single" w:color="000000" w:themeColor="dark1" w:sz="4" w:space="1"/>
        </w:pBdr>
        <w:shd w:val="clear" w:color="auto" w:fill="BEBEBE" w:themeFill="background1" w:themeFillShade="BF"/>
        <w:spacing w:before="0" w:beforeAutospacing="0" w:after="0" w:afterAutospacing="0"/>
        <w:jc w:val="both"/>
      </w:pPr>
      <w:r>
        <w:rPr>
          <w:rStyle w:val="11"/>
          <w:color w:val="000000"/>
          <w:sz w:val="22"/>
          <w:szCs w:val="22"/>
        </w:rPr>
        <w:t xml:space="preserve">REGIME DE EXECUÇÃO </w:t>
      </w:r>
      <w:r>
        <w:rPr>
          <w:sz w:val="22"/>
          <w:szCs w:val="22"/>
        </w:rPr>
        <w:t>(</w:t>
      </w:r>
      <w:r>
        <w:fldChar w:fldCharType="begin"/>
      </w:r>
      <w:r>
        <w:rPr>
          <w:rStyle w:val="54"/>
          <w:sz w:val="22"/>
          <w:szCs w:val="22"/>
        </w:rPr>
        <w:instrText xml:space="preserve"> HYPERLINK "https://www.planalto.gov.br/ccivil_03/_ato2019-2022/2021/lei/l14133.htm" \l "art92"</w:instrText>
      </w:r>
      <w:r>
        <w:rPr>
          <w:rStyle w:val="54"/>
          <w:sz w:val="22"/>
          <w:szCs w:val="22"/>
        </w:rPr>
        <w:fldChar w:fldCharType="separate"/>
      </w:r>
      <w:r>
        <w:rPr>
          <w:rStyle w:val="54"/>
          <w:sz w:val="22"/>
          <w:szCs w:val="22"/>
        </w:rPr>
        <w:t>art. 92, IV, da Lei Federal nº 14.133, de 2021</w:t>
      </w:r>
      <w:r>
        <w:rPr>
          <w:rStyle w:val="54"/>
          <w:sz w:val="22"/>
          <w:szCs w:val="22"/>
        </w:rPr>
        <w:fldChar w:fldCharType="end"/>
      </w:r>
      <w:r>
        <w:rPr>
          <w:sz w:val="22"/>
          <w:szCs w:val="22"/>
        </w:rPr>
        <w:t>)</w:t>
      </w:r>
    </w:p>
    <w:p>
      <w:pPr>
        <w:pStyle w:val="28"/>
        <w:numPr>
          <w:ilvl w:val="1"/>
          <w:numId w:val="17"/>
        </w:numPr>
        <w:tabs>
          <w:tab w:val="left" w:pos="993"/>
        </w:tabs>
        <w:spacing w:before="0" w:beforeAutospacing="0" w:after="0" w:afterAutospacing="0"/>
        <w:ind w:left="0" w:firstLine="567"/>
        <w:jc w:val="both"/>
      </w:pPr>
      <w:r>
        <w:rPr>
          <w:sz w:val="22"/>
          <w:szCs w:val="22"/>
        </w:rPr>
        <w:t>O regime de execução é o de empreitada por preço global (</w:t>
      </w:r>
      <w:r>
        <w:fldChar w:fldCharType="begin"/>
      </w:r>
      <w:r>
        <w:rPr>
          <w:rStyle w:val="54"/>
          <w:sz w:val="22"/>
          <w:szCs w:val="22"/>
        </w:rPr>
        <w:instrText xml:space="preserve"> HYPERLINK "http://www.planalto.gov.br/ccivil_03/_ato2019-2022/2021/lei/L14133.htm" \l "art46"</w:instrText>
      </w:r>
      <w:r>
        <w:rPr>
          <w:rStyle w:val="54"/>
          <w:sz w:val="22"/>
          <w:szCs w:val="22"/>
        </w:rPr>
        <w:fldChar w:fldCharType="separate"/>
      </w:r>
      <w:r>
        <w:rPr>
          <w:rStyle w:val="54"/>
          <w:sz w:val="22"/>
          <w:szCs w:val="22"/>
        </w:rPr>
        <w:t>art. 46, II, da Lei Federal nº 14.133, de 2021</w:t>
      </w:r>
      <w:r>
        <w:rPr>
          <w:rStyle w:val="54"/>
          <w:sz w:val="22"/>
          <w:szCs w:val="22"/>
        </w:rPr>
        <w:fldChar w:fldCharType="end"/>
      </w:r>
      <w:r>
        <w:rPr>
          <w:sz w:val="22"/>
          <w:szCs w:val="22"/>
        </w:rPr>
        <w:t>).</w:t>
      </w:r>
    </w:p>
    <w:p>
      <w:pPr>
        <w:pStyle w:val="28"/>
        <w:numPr>
          <w:ilvl w:val="0"/>
          <w:numId w:val="17"/>
        </w:numPr>
        <w:pBdr>
          <w:bottom w:val="single" w:color="000000" w:themeColor="dark1" w:sz="4" w:space="1"/>
        </w:pBdr>
        <w:shd w:val="clear" w:color="auto" w:fill="BEBEBE" w:themeFill="background1" w:themeFillShade="BF"/>
        <w:spacing w:before="0" w:beforeAutospacing="0" w:after="0" w:afterAutospacing="0"/>
        <w:jc w:val="both"/>
      </w:pPr>
      <w:r>
        <w:rPr>
          <w:rStyle w:val="11"/>
          <w:color w:val="000000"/>
          <w:sz w:val="22"/>
          <w:szCs w:val="22"/>
        </w:rPr>
        <w:t xml:space="preserve">SUBCONTRATAÇÃO </w:t>
      </w:r>
      <w:r>
        <w:rPr>
          <w:rStyle w:val="11"/>
          <w:b w:val="0"/>
          <w:bCs w:val="0"/>
          <w:color w:val="000000"/>
          <w:sz w:val="22"/>
          <w:szCs w:val="22"/>
        </w:rPr>
        <w:t>(</w:t>
      </w:r>
      <w:r>
        <w:fldChar w:fldCharType="begin"/>
      </w:r>
      <w:r>
        <w:rPr>
          <w:rStyle w:val="54"/>
          <w:sz w:val="22"/>
          <w:szCs w:val="22"/>
        </w:rPr>
        <w:instrText xml:space="preserve"> HYPERLINK "https://www.planalto.gov.br/ccivil_03/_ato2019-2022/2021/lei/l14133.htm" \l "art122"</w:instrText>
      </w:r>
      <w:r>
        <w:rPr>
          <w:rStyle w:val="54"/>
          <w:sz w:val="22"/>
          <w:szCs w:val="22"/>
        </w:rPr>
        <w:fldChar w:fldCharType="separate"/>
      </w:r>
      <w:r>
        <w:rPr>
          <w:rStyle w:val="54"/>
          <w:sz w:val="22"/>
          <w:szCs w:val="22"/>
        </w:rPr>
        <w:t>art. 122 da Lei Federal nº 14.133, de 2021</w:t>
      </w:r>
      <w:r>
        <w:rPr>
          <w:rStyle w:val="54"/>
          <w:sz w:val="22"/>
          <w:szCs w:val="22"/>
        </w:rPr>
        <w:fldChar w:fldCharType="end"/>
      </w:r>
      <w:r>
        <w:rPr>
          <w:rStyle w:val="11"/>
          <w:b w:val="0"/>
          <w:bCs w:val="0"/>
          <w:color w:val="000000"/>
          <w:sz w:val="22"/>
          <w:szCs w:val="22"/>
        </w:rPr>
        <w:t>)</w:t>
      </w:r>
    </w:p>
    <w:p>
      <w:pPr>
        <w:pStyle w:val="28"/>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Não será admitida a subcontratação do objeto contratual.</w:t>
      </w:r>
    </w:p>
    <w:p>
      <w:pPr>
        <w:pStyle w:val="28"/>
        <w:numPr>
          <w:ilvl w:val="0"/>
          <w:numId w:val="17"/>
        </w:numPr>
        <w:pBdr>
          <w:bottom w:val="single" w:color="000000" w:themeColor="dark1" w:sz="4" w:space="1"/>
        </w:pBdr>
        <w:shd w:val="clear" w:color="auto" w:fill="BEBEBE" w:themeFill="background1" w:themeFillShade="BF"/>
        <w:spacing w:before="0" w:beforeAutospacing="0" w:after="0" w:afterAutospacing="0"/>
        <w:jc w:val="both"/>
      </w:pPr>
      <w:r>
        <w:rPr>
          <w:rStyle w:val="11"/>
          <w:color w:val="000000"/>
          <w:sz w:val="22"/>
          <w:szCs w:val="22"/>
        </w:rPr>
        <w:t>OBRIGAÇÕES DO CONTRATANTE</w:t>
      </w:r>
      <w:r>
        <w:rPr>
          <w:sz w:val="22"/>
          <w:szCs w:val="22"/>
        </w:rPr>
        <w:t xml:space="preserve"> (</w:t>
      </w:r>
      <w:r>
        <w:fldChar w:fldCharType="begin"/>
      </w:r>
      <w:r>
        <w:rPr>
          <w:rStyle w:val="54"/>
          <w:sz w:val="22"/>
          <w:szCs w:val="22"/>
        </w:rPr>
        <w:instrText xml:space="preserve"> HYPERLINK "https://www.planalto.gov.br/ccivil_03/_ato2019-2022/2021/lei/l14133.htm" \l "art92"</w:instrText>
      </w:r>
      <w:r>
        <w:rPr>
          <w:rStyle w:val="54"/>
          <w:sz w:val="22"/>
          <w:szCs w:val="22"/>
        </w:rPr>
        <w:fldChar w:fldCharType="separate"/>
      </w:r>
      <w:r>
        <w:rPr>
          <w:rStyle w:val="54"/>
          <w:sz w:val="22"/>
          <w:szCs w:val="22"/>
        </w:rPr>
        <w:t>art. 92, X, XI e XIV, da Lei Federal nº 14.133, de 2021</w:t>
      </w:r>
      <w:r>
        <w:rPr>
          <w:rStyle w:val="54"/>
          <w:sz w:val="22"/>
          <w:szCs w:val="22"/>
        </w:rPr>
        <w:fldChar w:fldCharType="end"/>
      </w:r>
      <w:r>
        <w:rPr>
          <w:sz w:val="22"/>
          <w:szCs w:val="22"/>
        </w:rPr>
        <w:t>)</w:t>
      </w:r>
    </w:p>
    <w:p>
      <w:pPr>
        <w:pStyle w:val="28"/>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São </w:t>
      </w:r>
      <w:r>
        <w:rPr>
          <w:color w:val="000000" w:themeColor="text1"/>
          <w:sz w:val="22"/>
          <w:szCs w:val="22"/>
        </w:rPr>
        <w:t>obrigações</w:t>
      </w:r>
      <w:r>
        <w:rPr>
          <w:sz w:val="22"/>
          <w:szCs w:val="22"/>
        </w:rPr>
        <w:t xml:space="preserve"> do Contratante:</w:t>
      </w:r>
    </w:p>
    <w:p>
      <w:pPr>
        <w:pStyle w:val="28"/>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exigir o cumprimento de todas as obrigações assumidas pela Contratada, de acordo com o contrato e seus anexos;</w:t>
      </w:r>
    </w:p>
    <w:p>
      <w:pPr>
        <w:pStyle w:val="28"/>
        <w:numPr>
          <w:ilvl w:val="2"/>
          <w:numId w:val="17"/>
        </w:numPr>
        <w:tabs>
          <w:tab w:val="left" w:pos="993"/>
        </w:tabs>
        <w:spacing w:before="0" w:beforeAutospacing="0" w:after="0" w:afterAutospacing="0"/>
        <w:jc w:val="both"/>
      </w:pPr>
      <w:r>
        <w:rPr>
          <w:color w:val="000000"/>
          <w:sz w:val="22"/>
          <w:szCs w:val="22"/>
        </w:rPr>
        <w:t xml:space="preserve">Não exigir da Contratada, serviços estranhos às atividades especificadas no </w:t>
      </w:r>
      <w:r>
        <w:rPr>
          <w:rStyle w:val="45"/>
          <w:color w:val="000000"/>
          <w:sz w:val="22"/>
          <w:szCs w:val="22"/>
        </w:rPr>
        <w:t>Termo de Referência</w:t>
      </w:r>
      <w:r>
        <w:rPr>
          <w:color w:val="000000"/>
          <w:sz w:val="22"/>
          <w:szCs w:val="22"/>
        </w:rPr>
        <w:t>;</w:t>
      </w:r>
    </w:p>
    <w:p>
      <w:pPr>
        <w:pStyle w:val="28"/>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 xml:space="preserve">acompanhar e fiscalizar a execução do contrato e o cumprimento das obrigações pela Contratada, </w:t>
      </w:r>
      <w:r>
        <w:rPr>
          <w:color w:val="000000"/>
          <w:sz w:val="22"/>
          <w:szCs w:val="22"/>
        </w:rPr>
        <w:t>anotando em registro próprio as falhas detectadas e comunicar as ocorrências de quaisquer fatos que exijam medidas corretivas por parte da Contratada</w:t>
      </w:r>
      <w:r>
        <w:rPr>
          <w:sz w:val="22"/>
          <w:szCs w:val="22"/>
        </w:rPr>
        <w:t>;</w:t>
      </w:r>
    </w:p>
    <w:p>
      <w:pPr>
        <w:pStyle w:val="28"/>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fornecer as informações necessárias para o desenvolvimento dos serviços objeto do contrato;</w:t>
      </w:r>
    </w:p>
    <w:p>
      <w:pPr>
        <w:pStyle w:val="28"/>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previamente à expedição da ordem de serviço, verificar pendências, liberar áreas e/ou adotar providências cabíveis para a regularidade do início da sua execução;</w:t>
      </w:r>
    </w:p>
    <w:p>
      <w:pPr>
        <w:pStyle w:val="28"/>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notificar a Contratada, por escrito, da ocorrência de eventuais imperfeições, falhas ou irregularidades constatadas no curso da execução dos serviços, fixando prazo para a sua correção, certificando-se de que as soluções por ele propostas sejam as mais adequadas, para que seja por ele substituído, reparado ou corrigido, no total ou em parte, às suas expensas;</w:t>
      </w:r>
    </w:p>
    <w:p>
      <w:pPr>
        <w:pStyle w:val="28"/>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comunicar a Contratada para emissão de Nota Fiscal no que se refere à parcela incontroversa da execução do objeto, para efeito de liquidação;</w:t>
      </w:r>
    </w:p>
    <w:p>
      <w:pPr>
        <w:pStyle w:val="28"/>
        <w:numPr>
          <w:ilvl w:val="2"/>
          <w:numId w:val="17"/>
        </w:numPr>
        <w:tabs>
          <w:tab w:val="left" w:pos="993"/>
        </w:tabs>
        <w:spacing w:before="0" w:beforeAutospacing="0" w:after="0" w:afterAutospacing="0"/>
        <w:jc w:val="both"/>
      </w:pPr>
      <w:r>
        <w:rPr>
          <w:sz w:val="22"/>
          <w:szCs w:val="22"/>
        </w:rPr>
        <w:t xml:space="preserve">receber o objeto no prazo e condições estabelecidas no </w:t>
      </w:r>
      <w:r>
        <w:rPr>
          <w:rStyle w:val="45"/>
          <w:color w:val="000000"/>
          <w:sz w:val="22"/>
          <w:szCs w:val="22"/>
        </w:rPr>
        <w:t>Termo de Referência</w:t>
      </w:r>
      <w:r>
        <w:rPr>
          <w:sz w:val="22"/>
          <w:szCs w:val="22"/>
        </w:rPr>
        <w:t>;</w:t>
      </w:r>
    </w:p>
    <w:p>
      <w:pPr>
        <w:pStyle w:val="28"/>
        <w:numPr>
          <w:ilvl w:val="2"/>
          <w:numId w:val="17"/>
        </w:numPr>
        <w:tabs>
          <w:tab w:val="left" w:pos="993"/>
        </w:tabs>
        <w:spacing w:before="0" w:beforeAutospacing="0" w:after="0" w:afterAutospacing="0"/>
        <w:jc w:val="both"/>
      </w:pPr>
      <w:r>
        <w:rPr>
          <w:sz w:val="22"/>
          <w:szCs w:val="22"/>
        </w:rPr>
        <w:t xml:space="preserve">efetuar o pagamento à Contratada do valor correspondente à execução do objeto, no prazo, forma e condições estabelecidos no presente Contrato e no </w:t>
      </w:r>
      <w:r>
        <w:rPr>
          <w:rStyle w:val="45"/>
          <w:color w:val="000000"/>
          <w:sz w:val="22"/>
          <w:szCs w:val="22"/>
        </w:rPr>
        <w:t>Termo de Referência</w:t>
      </w:r>
      <w:r>
        <w:rPr>
          <w:sz w:val="22"/>
          <w:szCs w:val="22"/>
        </w:rPr>
        <w:t>, salvo no caso de parcela onde houver controvérsia.</w:t>
      </w:r>
    </w:p>
    <w:p>
      <w:pPr>
        <w:pStyle w:val="28"/>
        <w:numPr>
          <w:ilvl w:val="1"/>
          <w:numId w:val="17"/>
        </w:numPr>
        <w:tabs>
          <w:tab w:val="left" w:pos="993"/>
        </w:tabs>
        <w:spacing w:before="0" w:beforeAutospacing="0" w:after="0" w:afterAutospacing="0"/>
        <w:ind w:left="0" w:firstLine="567"/>
        <w:jc w:val="both"/>
      </w:pPr>
      <w:bookmarkStart w:id="74" w:name="_Hlk114499841"/>
      <w:bookmarkEnd w:id="74"/>
      <w:r>
        <w:rPr>
          <w:color w:val="000000"/>
          <w:sz w:val="22"/>
          <w:szCs w:val="22"/>
        </w:rPr>
        <w:t>A Administração terá o prazo de 1 (um) mês, a contar da data do protocolo do requerimento para decidir sobre qualquer requerimento da Contratada sobre todas as solicitações e reclamações relacionadas à execução do presente Contrato, admitida a prorrogação motivada, por igual período, ressalvados os requerimentos manifestamente impertinentes, meramente protelatórios ou de nenhum interesse para a boa execução do ajuste. (</w:t>
      </w:r>
      <w:r>
        <w:fldChar w:fldCharType="begin"/>
      </w:r>
      <w:r>
        <w:rPr>
          <w:rStyle w:val="54"/>
          <w:sz w:val="22"/>
          <w:szCs w:val="22"/>
        </w:rPr>
        <w:instrText xml:space="preserve"> HYPERLINK "https://www.planalto.gov.br/ccivil_03/_ato2019-2022/2021/lei/l14133.htm" \l "art123"</w:instrText>
      </w:r>
      <w:r>
        <w:rPr>
          <w:rStyle w:val="54"/>
          <w:sz w:val="22"/>
          <w:szCs w:val="22"/>
        </w:rPr>
        <w:fldChar w:fldCharType="separate"/>
      </w:r>
      <w:r>
        <w:rPr>
          <w:rStyle w:val="54"/>
          <w:sz w:val="22"/>
          <w:szCs w:val="22"/>
        </w:rPr>
        <w:t>art. 123 da Lei Federal nº 14.133, de 2021</w:t>
      </w:r>
      <w:r>
        <w:rPr>
          <w:rStyle w:val="54"/>
          <w:sz w:val="22"/>
          <w:szCs w:val="22"/>
        </w:rPr>
        <w:fldChar w:fldCharType="end"/>
      </w:r>
      <w:r>
        <w:rPr>
          <w:color w:val="000000"/>
          <w:sz w:val="22"/>
          <w:szCs w:val="22"/>
        </w:rPr>
        <w:t>)</w:t>
      </w:r>
    </w:p>
    <w:p>
      <w:pPr>
        <w:pStyle w:val="28"/>
        <w:numPr>
          <w:ilvl w:val="1"/>
          <w:numId w:val="17"/>
        </w:numPr>
        <w:tabs>
          <w:tab w:val="left" w:pos="993"/>
        </w:tabs>
        <w:spacing w:before="0" w:beforeAutospacing="0" w:after="0" w:afterAutospacing="0"/>
        <w:ind w:left="0" w:firstLine="567"/>
        <w:jc w:val="both"/>
        <w:rPr>
          <w:rFonts w:ascii="Times New Roman" w:hAnsi="Times New Roman"/>
          <w:sz w:val="22"/>
          <w:szCs w:val="22"/>
        </w:rPr>
      </w:pPr>
      <w:r>
        <w:rPr>
          <w:color w:val="000000"/>
          <w:sz w:val="22"/>
          <w:szCs w:val="22"/>
        </w:rPr>
        <w:t>A Administração não responderá por quaisquer compromissos assumidos pela Contratada com terceiros, ainda que vinculados à execução da contratação, bem como por qualquer dano causado a terceiros em decorrência de ato da Contratada, de seus empregados, prepostos ou subordinados.</w:t>
      </w:r>
    </w:p>
    <w:p>
      <w:pPr>
        <w:pStyle w:val="28"/>
        <w:numPr>
          <w:ilvl w:val="0"/>
          <w:numId w:val="17"/>
        </w:numPr>
        <w:pBdr>
          <w:bottom w:val="single" w:color="000000" w:themeColor="dark1" w:sz="4" w:space="1"/>
        </w:pBdr>
        <w:shd w:val="clear" w:color="auto" w:fill="BEBEBE" w:themeFill="background1" w:themeFillShade="BF"/>
        <w:spacing w:before="0" w:beforeAutospacing="0" w:after="0" w:afterAutospacing="0"/>
        <w:jc w:val="both"/>
      </w:pPr>
      <w:r>
        <w:rPr>
          <w:rStyle w:val="11"/>
          <w:color w:val="000000"/>
          <w:sz w:val="22"/>
          <w:szCs w:val="22"/>
        </w:rPr>
        <w:t>OBRIGAÇÕES DA CONTRATADA</w:t>
      </w:r>
      <w:r>
        <w:rPr>
          <w:sz w:val="22"/>
          <w:szCs w:val="22"/>
        </w:rPr>
        <w:t xml:space="preserve"> (</w:t>
      </w:r>
      <w:r>
        <w:fldChar w:fldCharType="begin"/>
      </w:r>
      <w:r>
        <w:rPr>
          <w:rStyle w:val="54"/>
          <w:sz w:val="22"/>
          <w:szCs w:val="22"/>
        </w:rPr>
        <w:instrText xml:space="preserve"> HYPERLINK "http://www.planalto.gov.br/ccivil_03/_ato2019-2022/2021/lei/L14133.htm" \l "art92"</w:instrText>
      </w:r>
      <w:r>
        <w:rPr>
          <w:rStyle w:val="54"/>
          <w:sz w:val="22"/>
          <w:szCs w:val="22"/>
        </w:rPr>
        <w:fldChar w:fldCharType="separate"/>
      </w:r>
      <w:r>
        <w:rPr>
          <w:rStyle w:val="54"/>
          <w:sz w:val="22"/>
          <w:szCs w:val="22"/>
        </w:rPr>
        <w:t>art. 92, XIV, XVI e XVII</w:t>
      </w:r>
      <w:r>
        <w:rPr>
          <w:rStyle w:val="54"/>
          <w:sz w:val="22"/>
          <w:szCs w:val="22"/>
        </w:rPr>
        <w:fldChar w:fldCharType="end"/>
      </w:r>
      <w:r>
        <w:rPr>
          <w:rStyle w:val="54"/>
          <w:sz w:val="22"/>
          <w:szCs w:val="22"/>
        </w:rPr>
        <w:t>, da Lei Federal nº 14.133, de 2021</w:t>
      </w:r>
      <w:r>
        <w:rPr>
          <w:sz w:val="22"/>
          <w:szCs w:val="22"/>
        </w:rPr>
        <w:t>)</w:t>
      </w:r>
    </w:p>
    <w:p>
      <w:pPr>
        <w:pStyle w:val="28"/>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obriga-se a cumprir todas as obrigações constantes deste Contrato e de seus anexos, assumindo como exclusivamente seus os riscos e as despesas decorrentes da boa e perfeita execução do objeto, observando, ainda, as obrigações a seguir dispostas:</w:t>
      </w:r>
    </w:p>
    <w:p>
      <w:pPr>
        <w:pStyle w:val="28"/>
        <w:numPr>
          <w:ilvl w:val="2"/>
          <w:numId w:val="17"/>
        </w:numPr>
        <w:tabs>
          <w:tab w:val="left" w:pos="993"/>
        </w:tabs>
        <w:spacing w:before="0" w:beforeAutospacing="0" w:after="0" w:afterAutospacing="0"/>
        <w:jc w:val="both"/>
      </w:pPr>
      <w:r>
        <w:rPr>
          <w:sz w:val="22"/>
          <w:szCs w:val="22"/>
        </w:rPr>
        <w:t>manter preposto aceito pela Administração no local do serviço para representá-lo na execução do contrato (</w:t>
      </w:r>
      <w:r>
        <w:fldChar w:fldCharType="begin"/>
      </w:r>
      <w:r>
        <w:rPr>
          <w:rStyle w:val="54"/>
          <w:sz w:val="22"/>
          <w:szCs w:val="22"/>
        </w:rPr>
        <w:instrText xml:space="preserve"> HYPERLINK "https://www.planalto.gov.br/ccivil_03/_ato2019-2022/2021/lei/l14133.htm" \l "art118"</w:instrText>
      </w:r>
      <w:r>
        <w:rPr>
          <w:rStyle w:val="54"/>
          <w:sz w:val="22"/>
          <w:szCs w:val="22"/>
        </w:rPr>
        <w:fldChar w:fldCharType="separate"/>
      </w:r>
      <w:r>
        <w:rPr>
          <w:rStyle w:val="54"/>
          <w:sz w:val="22"/>
          <w:szCs w:val="22"/>
        </w:rPr>
        <w:t>art. 118 da Lei Federal nº 14.133, de 2021</w:t>
      </w:r>
      <w:r>
        <w:rPr>
          <w:rStyle w:val="54"/>
          <w:sz w:val="22"/>
          <w:szCs w:val="22"/>
        </w:rPr>
        <w:fldChar w:fldCharType="end"/>
      </w:r>
      <w:r>
        <w:rPr>
          <w:sz w:val="22"/>
          <w:szCs w:val="22"/>
        </w:rPr>
        <w:t>), sendo que a indicação ou a manutenção do preposto da Contratada poderá ser recusada pelo Contratante, desde que devidamente justificada, devendo a Contratada designar outro para o exercício da atividade;</w:t>
      </w:r>
    </w:p>
    <w:p>
      <w:pPr>
        <w:pStyle w:val="28"/>
        <w:numPr>
          <w:ilvl w:val="2"/>
          <w:numId w:val="17"/>
        </w:numPr>
        <w:tabs>
          <w:tab w:val="left" w:pos="993"/>
        </w:tabs>
        <w:spacing w:before="0" w:beforeAutospacing="0" w:after="0" w:afterAutospacing="0"/>
        <w:jc w:val="both"/>
      </w:pPr>
      <w:r>
        <w:rPr>
          <w:sz w:val="22"/>
          <w:szCs w:val="22"/>
        </w:rPr>
        <w:t>atender às determinações regulares emitidas pelo(a) fiscal do contrato ou autoridade superior (</w:t>
      </w:r>
      <w:r>
        <w:fldChar w:fldCharType="begin"/>
      </w:r>
      <w:r>
        <w:rPr>
          <w:rStyle w:val="54"/>
          <w:sz w:val="22"/>
          <w:szCs w:val="22"/>
        </w:rPr>
        <w:instrText xml:space="preserve"> HYPERLINK "http://www.planalto.gov.br/ccivil_03/_ato2019-2022/2021/lei/L14133.htm" \l "art137"</w:instrText>
      </w:r>
      <w:r>
        <w:rPr>
          <w:rStyle w:val="54"/>
          <w:sz w:val="22"/>
          <w:szCs w:val="22"/>
        </w:rPr>
        <w:fldChar w:fldCharType="separate"/>
      </w:r>
      <w:r>
        <w:rPr>
          <w:rStyle w:val="54"/>
          <w:sz w:val="22"/>
          <w:szCs w:val="22"/>
        </w:rPr>
        <w:t>art. 137, II</w:t>
      </w:r>
      <w:r>
        <w:rPr>
          <w:rStyle w:val="54"/>
          <w:sz w:val="22"/>
          <w:szCs w:val="22"/>
        </w:rPr>
        <w:fldChar w:fldCharType="end"/>
      </w:r>
      <w:r>
        <w:rPr>
          <w:rStyle w:val="54"/>
          <w:sz w:val="22"/>
          <w:szCs w:val="22"/>
        </w:rPr>
        <w:t>, da Lei Federal nº 14.133, de 2021</w:t>
      </w:r>
      <w:r>
        <w:rPr>
          <w:sz w:val="22"/>
          <w:szCs w:val="22"/>
        </w:rPr>
        <w:t>)</w:t>
      </w:r>
      <w:r>
        <w:rPr>
          <w:color w:val="000000" w:themeColor="text1"/>
          <w:sz w:val="22"/>
          <w:szCs w:val="22"/>
        </w:rPr>
        <w:t xml:space="preserve"> e </w:t>
      </w:r>
      <w:r>
        <w:rPr>
          <w:sz w:val="22"/>
          <w:szCs w:val="22"/>
        </w:rPr>
        <w:t>prestar todo esclarecimento ou informação por eles solicitados;</w:t>
      </w:r>
    </w:p>
    <w:p>
      <w:pPr>
        <w:pStyle w:val="28"/>
        <w:numPr>
          <w:ilvl w:val="2"/>
          <w:numId w:val="17"/>
        </w:numPr>
        <w:tabs>
          <w:tab w:val="left" w:pos="993"/>
        </w:tabs>
        <w:spacing w:before="0" w:beforeAutospacing="0" w:after="0" w:afterAutospacing="0"/>
        <w:jc w:val="both"/>
      </w:pPr>
      <w:r>
        <w:rPr>
          <w:sz w:val="22"/>
          <w:szCs w:val="22"/>
        </w:rPr>
        <w:t xml:space="preserve">alocar os empregados necessários ao perfeito cumprimento das cláusulas deste contrato, com habilitação e conhecimento adequados, em especial aqueles descritos para execução dos serviços previstos no </w:t>
      </w:r>
      <w:r>
        <w:rPr>
          <w:rStyle w:val="45"/>
          <w:color w:val="000000"/>
          <w:sz w:val="22"/>
          <w:szCs w:val="22"/>
        </w:rPr>
        <w:t>Termo de Referência</w:t>
      </w:r>
      <w:r>
        <w:rPr>
          <w:sz w:val="22"/>
          <w:szCs w:val="22"/>
        </w:rPr>
        <w:t>, materiais, equipamentos, ferramentas e utensílios demandados, cuja quantidade, qualidade e tecnologia deverão atender às recomendações de boa técnica e a legislação de regência;</w:t>
      </w:r>
    </w:p>
    <w:p>
      <w:pPr>
        <w:pStyle w:val="28"/>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reparar, corrigir, remover, refazer ou substituir, às suas expensas, no total ou em parte, no prazo fixado pelo(a) fiscal do contrato, os serviços nos quais se verificarem vícios, defeitos ou incorreções resultantes da execução;</w:t>
      </w:r>
    </w:p>
    <w:p>
      <w:pPr>
        <w:pStyle w:val="28"/>
        <w:numPr>
          <w:ilvl w:val="2"/>
          <w:numId w:val="17"/>
        </w:numPr>
        <w:tabs>
          <w:tab w:val="left" w:pos="993"/>
        </w:tabs>
        <w:spacing w:before="0" w:beforeAutospacing="0" w:after="0" w:afterAutospacing="0"/>
        <w:jc w:val="both"/>
      </w:pPr>
      <w:r>
        <w:rPr>
          <w:sz w:val="22"/>
          <w:szCs w:val="22"/>
        </w:rPr>
        <w:t xml:space="preserve">responsabilizar-se pelos vícios e danos decorrentes da execução do objeto, de acordo com o </w:t>
      </w:r>
      <w:r>
        <w:fldChar w:fldCharType="begin"/>
      </w:r>
      <w:r>
        <w:instrText xml:space="preserve"> HYPERLINK "https://www.planalto.gov.br/ccivil_03/leis/l8078compilado.htm" \h </w:instrText>
      </w:r>
      <w:r>
        <w:fldChar w:fldCharType="separate"/>
      </w:r>
      <w:r>
        <w:rPr>
          <w:rStyle w:val="54"/>
          <w:sz w:val="22"/>
          <w:szCs w:val="22"/>
        </w:rPr>
        <w:t>Código de Defesa do Consumidor (Lei Federal nº 8.078, de 1990</w:t>
      </w:r>
      <w:r>
        <w:rPr>
          <w:rStyle w:val="54"/>
          <w:sz w:val="22"/>
          <w:szCs w:val="22"/>
        </w:rPr>
        <w:fldChar w:fldCharType="end"/>
      </w:r>
      <w:r>
        <w:rPr>
          <w:sz w:val="22"/>
          <w:szCs w:val="22"/>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pPr>
        <w:pStyle w:val="28"/>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efetuar comunicação ao Contratante, assim que tiver ciência da impossibilidade de realização ou finalização do serviço no prazo estabelecido, para adoção de ações de contingência cabíveis;</w:t>
      </w:r>
    </w:p>
    <w:p>
      <w:pPr>
        <w:pStyle w:val="28"/>
        <w:numPr>
          <w:ilvl w:val="2"/>
          <w:numId w:val="17"/>
        </w:numPr>
        <w:tabs>
          <w:tab w:val="left" w:pos="993"/>
        </w:tabs>
        <w:spacing w:before="0" w:beforeAutospacing="0" w:after="0" w:afterAutospacing="0"/>
        <w:jc w:val="both"/>
      </w:pPr>
      <w:r>
        <w:rPr>
          <w:sz w:val="22"/>
          <w:szCs w:val="22"/>
        </w:rPr>
        <w:t xml:space="preserve">não contratar, durante a vigência do contrato, cônjuge, companheiro ou parente em linha reta, colateral ou por afinidade, até o terceiro grau, de dirigente do Contratante ou do(a) fiscal ou gestor(a) do contrato, nos termos do </w:t>
      </w:r>
      <w:r>
        <w:fldChar w:fldCharType="begin"/>
      </w:r>
      <w:r>
        <w:rPr>
          <w:rStyle w:val="54"/>
          <w:sz w:val="22"/>
          <w:szCs w:val="22"/>
        </w:rPr>
        <w:instrText xml:space="preserve"> HYPERLINK "http://www.planalto.gov.br/ccivil_03/_ato2019-2022/2021/lei/L14133.htm" \l "art48"</w:instrText>
      </w:r>
      <w:r>
        <w:rPr>
          <w:rStyle w:val="54"/>
          <w:sz w:val="22"/>
          <w:szCs w:val="22"/>
        </w:rPr>
        <w:fldChar w:fldCharType="separate"/>
      </w:r>
      <w:r>
        <w:rPr>
          <w:rStyle w:val="54"/>
          <w:sz w:val="22"/>
          <w:szCs w:val="22"/>
        </w:rPr>
        <w:t>artigo 48, parágrafo único, da Lei Federal nº 14.133, de 2021</w:t>
      </w:r>
      <w:r>
        <w:rPr>
          <w:rStyle w:val="54"/>
          <w:sz w:val="22"/>
          <w:szCs w:val="22"/>
        </w:rPr>
        <w:fldChar w:fldCharType="end"/>
      </w:r>
      <w:r>
        <w:rPr>
          <w:sz w:val="22"/>
          <w:szCs w:val="22"/>
        </w:rPr>
        <w:t>;</w:t>
      </w:r>
    </w:p>
    <w:p>
      <w:pPr>
        <w:pStyle w:val="28"/>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 xml:space="preserve">manter durante toda a vigência do contrato, em compatibilidade com as obrigações assumidas, todas as condições exigidas para habilitação na licitação, em especial a documentação exigida na habilitação técnica; </w:t>
      </w:r>
    </w:p>
    <w:p>
      <w:pPr>
        <w:pStyle w:val="28"/>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pPr>
        <w:pStyle w:val="28"/>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comunicar ao(à) fiscal do contrato, no prazo de até 1 (um) dia útil, qualquer ocorrência anormal ou acidente que se verifique no local da execução do objeto contratual;</w:t>
      </w:r>
    </w:p>
    <w:p>
      <w:pPr>
        <w:pStyle w:val="28"/>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prestar todo esclarecimento ou informação solicitada pelo Contratante, garantindo-lhe o acesso, a qualquer tempo, ao local dos trabalhos, bem como aos documentos relativos à execução do(s) serviço(s);</w:t>
      </w:r>
    </w:p>
    <w:p>
      <w:pPr>
        <w:pStyle w:val="28"/>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paralisar, por determinação do Contratante, qualquer atividade que não esteja sendo executada de acordo com a boa técnica ou que ponha em risco a segurança de pessoas ou bens de terceiros;</w:t>
      </w:r>
    </w:p>
    <w:p>
      <w:pPr>
        <w:pStyle w:val="28"/>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promover a guarda, manutenção e vigilância de materiais, ferramentas, e tudo o que for necessário à execução do objeto, durante a vigência do contrato;</w:t>
      </w:r>
    </w:p>
    <w:p>
      <w:pPr>
        <w:pStyle w:val="28"/>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submeter previamente, por escrito, ao Contratante, para análise e aprovação, quaisquer mudanças nos métodos executivos que fujam às especificações do memorial descritivo ou instrumento congênere;</w:t>
      </w:r>
    </w:p>
    <w:p>
      <w:pPr>
        <w:pStyle w:val="28"/>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p>
    <w:p>
      <w:pPr>
        <w:pStyle w:val="28"/>
        <w:numPr>
          <w:ilvl w:val="2"/>
          <w:numId w:val="17"/>
        </w:numPr>
        <w:tabs>
          <w:tab w:val="left" w:pos="993"/>
        </w:tabs>
        <w:spacing w:before="0" w:beforeAutospacing="0" w:after="0" w:afterAutospacing="0"/>
        <w:jc w:val="both"/>
      </w:pPr>
      <w:r>
        <w:rPr>
          <w:sz w:val="22"/>
          <w:szCs w:val="22"/>
        </w:rPr>
        <w:t xml:space="preserve">cumprir, durante todo o período de execução do contrato, a reserva de cargos prevista no </w:t>
      </w:r>
      <w:r>
        <w:fldChar w:fldCharType="begin"/>
      </w:r>
      <w:r>
        <w:rPr>
          <w:rStyle w:val="54"/>
          <w:sz w:val="22"/>
          <w:szCs w:val="22"/>
        </w:rPr>
        <w:instrText xml:space="preserve"> HYPERLINK "https://www.planalto.gov.br/ccivil_03/leis/l8213cons.htm" \l "art93"</w:instrText>
      </w:r>
      <w:r>
        <w:rPr>
          <w:rStyle w:val="54"/>
          <w:sz w:val="22"/>
          <w:szCs w:val="22"/>
        </w:rPr>
        <w:fldChar w:fldCharType="separate"/>
      </w:r>
      <w:r>
        <w:rPr>
          <w:rStyle w:val="54"/>
          <w:sz w:val="22"/>
          <w:szCs w:val="22"/>
        </w:rPr>
        <w:t>art. 93, da Lei Federal nº 8.213, de 1991</w:t>
      </w:r>
      <w:r>
        <w:rPr>
          <w:rStyle w:val="54"/>
          <w:sz w:val="22"/>
          <w:szCs w:val="22"/>
        </w:rPr>
        <w:fldChar w:fldCharType="end"/>
      </w:r>
      <w:r>
        <w:rPr>
          <w:sz w:val="22"/>
          <w:szCs w:val="22"/>
        </w:rPr>
        <w:t>, para pessoa com deficiência, para reabilitado da Previdência Social e para aprendiz, bem como as reservas de cargos previstas na legislação (</w:t>
      </w:r>
      <w:r>
        <w:fldChar w:fldCharType="begin"/>
      </w:r>
      <w:r>
        <w:rPr>
          <w:rStyle w:val="54"/>
          <w:sz w:val="22"/>
          <w:szCs w:val="22"/>
        </w:rPr>
        <w:instrText xml:space="preserve"> HYPERLINK "http://www.planalto.gov.br/ccivil_03/_ato2019-2022/2021/lei/L14133.htm" \l "art116"</w:instrText>
      </w:r>
      <w:r>
        <w:rPr>
          <w:rStyle w:val="54"/>
          <w:sz w:val="22"/>
          <w:szCs w:val="22"/>
        </w:rPr>
        <w:fldChar w:fldCharType="separate"/>
      </w:r>
      <w:r>
        <w:rPr>
          <w:rStyle w:val="54"/>
          <w:sz w:val="22"/>
          <w:szCs w:val="22"/>
        </w:rPr>
        <w:t>art. 116</w:t>
      </w:r>
      <w:r>
        <w:rPr>
          <w:rStyle w:val="54"/>
          <w:sz w:val="22"/>
          <w:szCs w:val="22"/>
        </w:rPr>
        <w:fldChar w:fldCharType="end"/>
      </w:r>
      <w:r>
        <w:rPr>
          <w:rStyle w:val="54"/>
          <w:sz w:val="22"/>
          <w:szCs w:val="22"/>
        </w:rPr>
        <w:t xml:space="preserve"> da Lei Federal nº 14.133, de 2021</w:t>
      </w:r>
      <w:r>
        <w:rPr>
          <w:sz w:val="22"/>
          <w:szCs w:val="22"/>
        </w:rPr>
        <w:t>), comprovando o cumprimento da legislação, no prazo fixado pelo(a) fiscal do contrato, com a indicação dos empregados que preencheram as referidas vagas e mantendo durante todo o período de contratação as cotas exigidas por Lei;</w:t>
      </w:r>
    </w:p>
    <w:p>
      <w:pPr>
        <w:pStyle w:val="28"/>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guardar sigilo sobre todas as informações obtidas em decorrência do cumprimento do contrato;</w:t>
      </w:r>
    </w:p>
    <w:p>
      <w:pPr>
        <w:pStyle w:val="28"/>
        <w:numPr>
          <w:ilvl w:val="2"/>
          <w:numId w:val="17"/>
        </w:numPr>
        <w:tabs>
          <w:tab w:val="left" w:pos="993"/>
        </w:tabs>
        <w:spacing w:before="0" w:beforeAutospacing="0" w:after="0" w:afterAutospacing="0"/>
        <w:jc w:val="both"/>
      </w:pPr>
      <w:r>
        <w:rPr>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rPr>
          <w:rStyle w:val="54"/>
          <w:sz w:val="22"/>
          <w:szCs w:val="22"/>
        </w:rPr>
        <w:instrText xml:space="preserve"> HYPERLINK "http://www.planalto.gov.br/ccivil_03/_ato2019-2022/2021/lei/L14133.htm" \l "art124"</w:instrText>
      </w:r>
      <w:r>
        <w:rPr>
          <w:rStyle w:val="54"/>
          <w:sz w:val="22"/>
          <w:szCs w:val="22"/>
        </w:rPr>
        <w:fldChar w:fldCharType="separate"/>
      </w:r>
      <w:r>
        <w:rPr>
          <w:rStyle w:val="54"/>
          <w:sz w:val="22"/>
          <w:szCs w:val="22"/>
        </w:rPr>
        <w:t>art. 124, II, d, da Lei Federal nº 14.133, de 2021</w:t>
      </w:r>
      <w:r>
        <w:rPr>
          <w:rStyle w:val="54"/>
          <w:sz w:val="22"/>
          <w:szCs w:val="22"/>
        </w:rPr>
        <w:fldChar w:fldCharType="end"/>
      </w:r>
      <w:r>
        <w:rPr>
          <w:sz w:val="22"/>
          <w:szCs w:val="22"/>
        </w:rPr>
        <w:t>;</w:t>
      </w:r>
    </w:p>
    <w:p>
      <w:pPr>
        <w:pStyle w:val="28"/>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cumprir, além dos postulados legais vigentes de âmbito federal, estadual ou municipal, as normas de segurança do Contratante, além das recomendações do(a) fiscal de contrato;</w:t>
      </w:r>
    </w:p>
    <w:p>
      <w:pPr>
        <w:pStyle w:val="28"/>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apresentar ao Contratante, quando for o caso, a relação nominal dos empregados que atuarão na execução do serviço;</w:t>
      </w:r>
    </w:p>
    <w:p>
      <w:pPr>
        <w:pStyle w:val="28"/>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instruir seus empregados quanto à necessidade de acatar as Normas Internas do Contratante, bem como em relação às atividades a serem desempenhadas, alertando-os a não executarem atividades não abrangidas pelo contrato, devendo a Contratada relatar ao Contratante toda e qualquer ocorrência neste sentido, a fim de evitar desvio de função;</w:t>
      </w:r>
    </w:p>
    <w:p>
      <w:pPr>
        <w:pStyle w:val="28"/>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obter junto aos órgãos competentes, conforme o caso, as licenças necessárias e demais documentos e autorizações exigíveis, na forma da legislação aplicável;</w:t>
      </w:r>
    </w:p>
    <w:p>
      <w:pPr>
        <w:pStyle w:val="28"/>
        <w:numPr>
          <w:ilvl w:val="2"/>
          <w:numId w:val="17"/>
        </w:numPr>
        <w:tabs>
          <w:tab w:val="left" w:pos="993"/>
        </w:tabs>
        <w:spacing w:before="0" w:beforeAutospacing="0" w:after="0" w:afterAutospacing="0"/>
        <w:jc w:val="both"/>
      </w:pPr>
      <w:r>
        <w:rPr>
          <w:sz w:val="22"/>
          <w:szCs w:val="22"/>
        </w:rPr>
        <w:t>atender</w:t>
      </w:r>
      <w:r>
        <w:rPr>
          <w:color w:val="000000"/>
          <w:sz w:val="22"/>
          <w:szCs w:val="22"/>
        </w:rPr>
        <w:t xml:space="preserve"> às determinações regulares emitidas pelo(a) fiscal ou gestor(a) do contrato ou autoridade superior (</w:t>
      </w:r>
      <w:r>
        <w:fldChar w:fldCharType="begin"/>
      </w:r>
      <w:r>
        <w:rPr>
          <w:rStyle w:val="54"/>
          <w:sz w:val="22"/>
          <w:szCs w:val="22"/>
        </w:rPr>
        <w:instrText xml:space="preserve"> HYPERLINK "https://www.planalto.gov.br/ccivil_03/_ato2019-2022/2021/lei/l14133.htm" \l "art137"</w:instrText>
      </w:r>
      <w:r>
        <w:rPr>
          <w:rStyle w:val="54"/>
          <w:sz w:val="22"/>
          <w:szCs w:val="22"/>
        </w:rPr>
        <w:fldChar w:fldCharType="separate"/>
      </w:r>
      <w:r>
        <w:rPr>
          <w:rStyle w:val="54"/>
          <w:sz w:val="22"/>
          <w:szCs w:val="22"/>
        </w:rPr>
        <w:t>art. 137, II, da Lei Federal nº 14.133, de 2021</w:t>
      </w:r>
      <w:r>
        <w:rPr>
          <w:rStyle w:val="54"/>
          <w:sz w:val="22"/>
          <w:szCs w:val="22"/>
        </w:rPr>
        <w:fldChar w:fldCharType="end"/>
      </w:r>
      <w:r>
        <w:rPr>
          <w:color w:val="000000"/>
          <w:sz w:val="22"/>
          <w:szCs w:val="22"/>
        </w:rPr>
        <w:t>) e prestar todo esclarecimento ou informação por eles solicitados;</w:t>
      </w:r>
    </w:p>
    <w:p>
      <w:pPr>
        <w:pStyle w:val="28"/>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28"/>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entregar, junto com a Nota Fiscal, as certidões que comprovem a regularidade perante a Fazenda estadual e municipal do domicílio ou sede da Contratada, além das certidões federais que não estejam sendo emitidas pela rede mundial de computadores;</w:t>
      </w:r>
    </w:p>
    <w:p>
      <w:pPr>
        <w:pStyle w:val="28"/>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28"/>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paralisar, por determinação do Contratante, qualquer atividade que não esteja sendo executada de acordo com a boa técnica ou que ponha em risco a segurança de pessoas ou bens de terceiros;</w:t>
      </w:r>
    </w:p>
    <w:p>
      <w:pPr>
        <w:pStyle w:val="28"/>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 xml:space="preserve">manter durante toda a vigência do contrato, em compatibilidade com as obrigações assumidas, todas as condições exigidas para habilitação na licitação; </w:t>
      </w:r>
    </w:p>
    <w:p>
      <w:pPr>
        <w:pStyle w:val="28"/>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 xml:space="preserve">guardar sigilo sobre todas as informações obtidas em decorrência do cumprimento do contrato; </w:t>
      </w:r>
    </w:p>
    <w:p>
      <w:pPr>
        <w:pStyle w:val="28"/>
        <w:numPr>
          <w:ilvl w:val="2"/>
          <w:numId w:val="17"/>
        </w:numPr>
        <w:tabs>
          <w:tab w:val="left" w:pos="993"/>
        </w:tabs>
        <w:spacing w:before="0" w:beforeAutospacing="0" w:after="0" w:afterAutospacing="0"/>
        <w:jc w:val="both"/>
        <w:rPr>
          <w:rFonts w:ascii="Times New Roman" w:hAnsi="Times New Roman"/>
          <w:sz w:val="22"/>
          <w:szCs w:val="22"/>
        </w:rPr>
      </w:pPr>
      <w:bookmarkStart w:id="75" w:name="_Ref118293001"/>
      <w:r>
        <w:rPr>
          <w:color w:val="000000"/>
          <w:sz w:val="22"/>
          <w:szCs w:val="22"/>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75"/>
    </w:p>
    <w:p>
      <w:pPr>
        <w:pStyle w:val="28"/>
        <w:numPr>
          <w:ilvl w:val="2"/>
          <w:numId w:val="17"/>
        </w:numPr>
        <w:tabs>
          <w:tab w:val="left" w:pos="993"/>
        </w:tabs>
        <w:spacing w:before="0" w:beforeAutospacing="0" w:after="0" w:afterAutospacing="0"/>
        <w:jc w:val="both"/>
      </w:pPr>
      <w:r>
        <w:rPr>
          <w:color w:val="000000"/>
          <w:sz w:val="22"/>
          <w:szCs w:val="22"/>
        </w:rPr>
        <w:t xml:space="preserve">orientar e treinar seus empregados sobre os deveres previstos na </w:t>
      </w:r>
      <w:r>
        <w:fldChar w:fldCharType="begin"/>
      </w:r>
      <w:r>
        <w:instrText xml:space="preserve"> HYPERLINK "https://www.planalto.gov.br/ccivil_03/_ato2015-2018/2018/lei/l13709.htm" \h </w:instrText>
      </w:r>
      <w:r>
        <w:fldChar w:fldCharType="separate"/>
      </w:r>
      <w:r>
        <w:rPr>
          <w:rStyle w:val="54"/>
          <w:sz w:val="22"/>
          <w:szCs w:val="22"/>
        </w:rPr>
        <w:t>Lei Federal nº 13.709, de 2018</w:t>
      </w:r>
      <w:r>
        <w:rPr>
          <w:rStyle w:val="54"/>
          <w:sz w:val="22"/>
          <w:szCs w:val="22"/>
        </w:rPr>
        <w:fldChar w:fldCharType="end"/>
      </w:r>
      <w:r>
        <w:rPr>
          <w:color w:val="000000"/>
          <w:sz w:val="22"/>
          <w:szCs w:val="22"/>
        </w:rPr>
        <w:t>, adotando medidas eficazes para proteção de dados pessoais a que tenha acesso por força da execução deste contrato;</w:t>
      </w:r>
    </w:p>
    <w:p>
      <w:pPr>
        <w:pStyle w:val="28"/>
        <w:numPr>
          <w:ilvl w:val="2"/>
          <w:numId w:val="17"/>
        </w:numPr>
        <w:tabs>
          <w:tab w:val="left" w:pos="993"/>
        </w:tabs>
        <w:spacing w:before="0" w:beforeAutospacing="0" w:after="0" w:afterAutospacing="0"/>
        <w:jc w:val="both"/>
        <w:rPr>
          <w:rFonts w:ascii="Times New Roman" w:hAnsi="Times New Roman"/>
          <w:sz w:val="22"/>
          <w:szCs w:val="22"/>
        </w:rPr>
      </w:pPr>
      <w:r>
        <w:rPr>
          <w:color w:val="000000"/>
          <w:sz w:val="22"/>
          <w:szCs w:val="22"/>
        </w:rPr>
        <w:t>conduzir os trabalhos com estrita observância às normas da legislação pertinente, cumprindo as determinações dos Poderes Públicos, mantendo sempre limpo o local de execução do objeto e nas melhores condições de segurança, higiene e disciplina;</w:t>
      </w:r>
    </w:p>
    <w:p>
      <w:pPr>
        <w:pStyle w:val="28"/>
        <w:numPr>
          <w:ilvl w:val="2"/>
          <w:numId w:val="17"/>
        </w:numPr>
        <w:tabs>
          <w:tab w:val="left" w:pos="993"/>
        </w:tabs>
        <w:spacing w:before="0" w:beforeAutospacing="0" w:after="0" w:afterAutospacing="0"/>
        <w:jc w:val="both"/>
        <w:rPr>
          <w:rFonts w:ascii="Times New Roman" w:hAnsi="Times New Roman"/>
          <w:sz w:val="22"/>
          <w:szCs w:val="22"/>
        </w:rPr>
      </w:pPr>
      <w:r>
        <w:rPr>
          <w:color w:val="000000"/>
          <w:sz w:val="22"/>
          <w:szCs w:val="22"/>
        </w:rPr>
        <w:t>submeter previamente, por escrito, ao Contratante, para análise e aprovação, quaisquer mudanças nos métodos executivos que fujam às especificações do memorial descritivo ou instrumento congênere;</w:t>
      </w:r>
    </w:p>
    <w:p>
      <w:pPr>
        <w:pStyle w:val="28"/>
        <w:numPr>
          <w:ilvl w:val="2"/>
          <w:numId w:val="17"/>
        </w:numPr>
        <w:tabs>
          <w:tab w:val="left" w:pos="993"/>
        </w:tabs>
        <w:spacing w:before="0" w:beforeAutospacing="0" w:after="0" w:afterAutospacing="0"/>
        <w:jc w:val="both"/>
        <w:rPr>
          <w:rFonts w:ascii="Times New Roman" w:hAnsi="Times New Roman"/>
          <w:sz w:val="22"/>
          <w:szCs w:val="22"/>
        </w:rPr>
      </w:pPr>
      <w:r>
        <w:rPr>
          <w:color w:val="000000"/>
          <w:sz w:val="22"/>
          <w:szCs w:val="22"/>
        </w:rPr>
        <w:t>executar os serviços objeto desta contratação com presteza e rapidez, conforme as necessidades do Contratante;</w:t>
      </w:r>
    </w:p>
    <w:p>
      <w:pPr>
        <w:pStyle w:val="28"/>
        <w:numPr>
          <w:ilvl w:val="2"/>
          <w:numId w:val="17"/>
        </w:numPr>
        <w:tabs>
          <w:tab w:val="left" w:pos="993"/>
        </w:tabs>
        <w:spacing w:before="0" w:beforeAutospacing="0" w:after="0" w:afterAutospacing="0"/>
        <w:jc w:val="both"/>
        <w:rPr>
          <w:rFonts w:ascii="Times New Roman" w:hAnsi="Times New Roman"/>
          <w:sz w:val="22"/>
          <w:szCs w:val="22"/>
        </w:rPr>
      </w:pPr>
      <w:r>
        <w:rPr>
          <w:color w:val="000000"/>
          <w:sz w:val="22"/>
          <w:szCs w:val="22"/>
        </w:rPr>
        <w:t>não transferir a outrem, no todo ou em parte, o objeto do contrato a ser firmado, sem prévia anuência do Contratante;</w:t>
      </w:r>
    </w:p>
    <w:p>
      <w:pPr>
        <w:pStyle w:val="28"/>
        <w:numPr>
          <w:ilvl w:val="2"/>
          <w:numId w:val="17"/>
        </w:numPr>
        <w:tabs>
          <w:tab w:val="left" w:pos="993"/>
        </w:tabs>
        <w:spacing w:before="0" w:beforeAutospacing="0" w:after="0" w:afterAutospacing="0"/>
        <w:jc w:val="both"/>
        <w:rPr>
          <w:rFonts w:ascii="Times New Roman" w:hAnsi="Times New Roman"/>
          <w:sz w:val="22"/>
          <w:szCs w:val="22"/>
        </w:rPr>
      </w:pPr>
      <w:r>
        <w:rPr>
          <w:color w:val="000000"/>
          <w:sz w:val="22"/>
          <w:szCs w:val="22"/>
        </w:rPr>
        <w:t>não caucionar nem utilizar o contrato a ser firmado para qualquer operação financeira, sem prévia e expressa anuência da administração deste Regional;</w:t>
      </w:r>
    </w:p>
    <w:p>
      <w:pPr>
        <w:pStyle w:val="28"/>
        <w:numPr>
          <w:ilvl w:val="2"/>
          <w:numId w:val="17"/>
        </w:numPr>
        <w:tabs>
          <w:tab w:val="left" w:pos="993"/>
        </w:tabs>
        <w:spacing w:before="0" w:beforeAutospacing="0" w:after="0" w:afterAutospacing="0"/>
        <w:jc w:val="both"/>
        <w:rPr>
          <w:rFonts w:ascii="Times New Roman" w:hAnsi="Times New Roman"/>
          <w:sz w:val="22"/>
          <w:szCs w:val="22"/>
        </w:rPr>
      </w:pPr>
      <w:r>
        <w:rPr>
          <w:color w:val="000000"/>
          <w:sz w:val="22"/>
          <w:szCs w:val="22"/>
        </w:rPr>
        <w:t>arcar com todos os encargos diretos e indiretos que incidirem sobre a contratação, inclusive os trabalhistas, previdenciários, fiscais e comerciais resultantes da execução contratual devendo apresentar, sempre que solicitada pelo(a) gestor(a) do contrato, a documentação comprobatória dos recolhimentos devidos;</w:t>
      </w:r>
    </w:p>
    <w:p>
      <w:pPr>
        <w:pStyle w:val="28"/>
        <w:numPr>
          <w:ilvl w:val="2"/>
          <w:numId w:val="17"/>
        </w:numPr>
        <w:tabs>
          <w:tab w:val="left" w:pos="993"/>
        </w:tabs>
        <w:spacing w:before="0" w:beforeAutospacing="0" w:after="0" w:afterAutospacing="0"/>
        <w:jc w:val="both"/>
        <w:rPr>
          <w:rFonts w:ascii="Times New Roman" w:hAnsi="Times New Roman"/>
          <w:sz w:val="22"/>
          <w:szCs w:val="22"/>
        </w:rPr>
      </w:pPr>
      <w:r>
        <w:rPr>
          <w:color w:val="000000"/>
          <w:sz w:val="22"/>
          <w:szCs w:val="22"/>
        </w:rPr>
        <w:t>recolher, no prazo estabelecido, valores referentes a penalidades de multa aplicadas, em procedimento administrativo, decorrentes de descumprimento de obrigações contratuais;</w:t>
      </w:r>
    </w:p>
    <w:p>
      <w:pPr>
        <w:pStyle w:val="28"/>
        <w:numPr>
          <w:ilvl w:val="2"/>
          <w:numId w:val="17"/>
        </w:numPr>
        <w:tabs>
          <w:tab w:val="left" w:pos="993"/>
        </w:tabs>
        <w:spacing w:before="0" w:beforeAutospacing="0" w:after="0" w:afterAutospacing="0"/>
        <w:jc w:val="both"/>
        <w:rPr>
          <w:rFonts w:ascii="Times New Roman" w:hAnsi="Times New Roman"/>
          <w:sz w:val="22"/>
          <w:szCs w:val="22"/>
        </w:rPr>
      </w:pPr>
      <w:r>
        <w:rPr>
          <w:color w:val="000000"/>
          <w:sz w:val="22"/>
          <w:szCs w:val="22"/>
        </w:rPr>
        <w:t>acatar a fiscalização, a orientação e o gerenciamento dos trabalhos por parte do(a) gestor(a) e/ou do fiscal do contrato designado pela Administração.</w:t>
      </w:r>
    </w:p>
    <w:p>
      <w:pPr>
        <w:pStyle w:val="28"/>
        <w:numPr>
          <w:ilvl w:val="0"/>
          <w:numId w:val="17"/>
        </w:numPr>
        <w:pBdr>
          <w:bottom w:val="single" w:color="000000" w:themeColor="dark1" w:sz="4" w:space="1"/>
        </w:pBdr>
        <w:shd w:val="clear" w:color="auto" w:fill="BEBEBE" w:themeFill="background1" w:themeFillShade="BF"/>
        <w:spacing w:before="0" w:beforeAutospacing="0" w:after="0" w:afterAutospacing="0"/>
        <w:jc w:val="both"/>
      </w:pPr>
      <w:r>
        <w:rPr>
          <w:rStyle w:val="11"/>
          <w:color w:val="000000"/>
          <w:sz w:val="22"/>
          <w:szCs w:val="22"/>
        </w:rPr>
        <w:t xml:space="preserve">OBRIGAÇÕES PERTINENTES À LGPD </w:t>
      </w:r>
      <w:r>
        <w:rPr>
          <w:rStyle w:val="11"/>
          <w:b w:val="0"/>
          <w:bCs w:val="0"/>
          <w:color w:val="000000"/>
          <w:sz w:val="22"/>
          <w:szCs w:val="22"/>
        </w:rPr>
        <w:t>(</w:t>
      </w:r>
      <w:r>
        <w:fldChar w:fldCharType="begin"/>
      </w:r>
      <w:r>
        <w:instrText xml:space="preserve"> HYPERLINK "https://www.planalto.gov.br/ccivil_03/_ato2015-2018/2018/lei/l13709.htm" \h </w:instrText>
      </w:r>
      <w:r>
        <w:fldChar w:fldCharType="separate"/>
      </w:r>
      <w:r>
        <w:rPr>
          <w:rStyle w:val="54"/>
          <w:sz w:val="22"/>
          <w:szCs w:val="22"/>
        </w:rPr>
        <w:t>Lei Federal nº 13.709, de 2018</w:t>
      </w:r>
      <w:r>
        <w:rPr>
          <w:rStyle w:val="54"/>
          <w:sz w:val="22"/>
          <w:szCs w:val="22"/>
        </w:rPr>
        <w:fldChar w:fldCharType="end"/>
      </w:r>
      <w:r>
        <w:rPr>
          <w:rStyle w:val="11"/>
          <w:b w:val="0"/>
          <w:bCs w:val="0"/>
          <w:color w:val="000000"/>
          <w:sz w:val="22"/>
          <w:szCs w:val="22"/>
        </w:rPr>
        <w:t>)</w:t>
      </w:r>
    </w:p>
    <w:p>
      <w:pPr>
        <w:pStyle w:val="28"/>
        <w:numPr>
          <w:ilvl w:val="1"/>
          <w:numId w:val="17"/>
        </w:numPr>
        <w:tabs>
          <w:tab w:val="left" w:pos="993"/>
        </w:tabs>
        <w:spacing w:before="0" w:beforeAutospacing="0" w:after="0" w:afterAutospacing="0"/>
        <w:ind w:left="0" w:firstLine="567"/>
        <w:jc w:val="both"/>
      </w:pPr>
      <w:r>
        <w:rPr>
          <w:sz w:val="22"/>
          <w:szCs w:val="22"/>
        </w:rPr>
        <w:t xml:space="preserve">As partes deverão cumprir a </w:t>
      </w:r>
      <w:r>
        <w:fldChar w:fldCharType="begin"/>
      </w:r>
      <w:r>
        <w:instrText xml:space="preserve"> HYPERLINK "https://www.planalto.gov.br/ccivil_03/_ato2015-2018/2018/lei/l13709.htm" \h </w:instrText>
      </w:r>
      <w:r>
        <w:fldChar w:fldCharType="separate"/>
      </w:r>
      <w:r>
        <w:rPr>
          <w:rStyle w:val="54"/>
          <w:sz w:val="22"/>
          <w:szCs w:val="22"/>
        </w:rPr>
        <w:t>Lei Federal nº 13.709, de 2018 (LGPD)</w:t>
      </w:r>
      <w:r>
        <w:rPr>
          <w:rStyle w:val="54"/>
          <w:sz w:val="22"/>
          <w:szCs w:val="22"/>
        </w:rPr>
        <w:fldChar w:fldCharType="end"/>
      </w:r>
      <w:r>
        <w:rPr>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pPr>
        <w:pStyle w:val="28"/>
        <w:numPr>
          <w:ilvl w:val="1"/>
          <w:numId w:val="17"/>
        </w:numPr>
        <w:tabs>
          <w:tab w:val="left" w:pos="993"/>
        </w:tabs>
        <w:spacing w:before="0" w:beforeAutospacing="0" w:after="0" w:afterAutospacing="0"/>
        <w:ind w:left="0" w:firstLine="567"/>
        <w:jc w:val="both"/>
      </w:pPr>
      <w:r>
        <w:rPr>
          <w:sz w:val="22"/>
          <w:szCs w:val="22"/>
        </w:rPr>
        <w:t xml:space="preserve">Os dados obtidos somente poderão ser utilizados para as finalidades que justificaram seu acesso e de acordo com a boa-fé e com os princípios do </w:t>
      </w:r>
      <w:r>
        <w:fldChar w:fldCharType="begin"/>
      </w:r>
      <w:r>
        <w:rPr>
          <w:rStyle w:val="54"/>
          <w:sz w:val="22"/>
          <w:szCs w:val="22"/>
        </w:rPr>
        <w:instrText xml:space="preserve"> HYPERLINK "https://www.planalto.gov.br/ccivil_03/_ato2015-2018/2018/lei/l13709.htm" \l "art6"</w:instrText>
      </w:r>
      <w:r>
        <w:rPr>
          <w:rStyle w:val="54"/>
          <w:sz w:val="22"/>
          <w:szCs w:val="22"/>
        </w:rPr>
        <w:fldChar w:fldCharType="separate"/>
      </w:r>
      <w:r>
        <w:rPr>
          <w:rStyle w:val="54"/>
          <w:sz w:val="22"/>
          <w:szCs w:val="22"/>
        </w:rPr>
        <w:t>art. 6º da Lei Federal nº 13.709, de 2018</w:t>
      </w:r>
      <w:r>
        <w:rPr>
          <w:rStyle w:val="54"/>
          <w:sz w:val="22"/>
          <w:szCs w:val="22"/>
        </w:rPr>
        <w:fldChar w:fldCharType="end"/>
      </w:r>
      <w:r>
        <w:rPr>
          <w:sz w:val="22"/>
          <w:szCs w:val="22"/>
        </w:rPr>
        <w:t>.</w:t>
      </w:r>
    </w:p>
    <w:p>
      <w:pPr>
        <w:pStyle w:val="28"/>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É vedado o compartilhamento com terceiros dos dados obtidos fora das hipóteses permitidas em Lei.</w:t>
      </w:r>
    </w:p>
    <w:p>
      <w:pPr>
        <w:pStyle w:val="28"/>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A Administração deverá ser informada no prazo de 5 (cinco) dias úteis sobre todos os contratos de suboperação firmados ou que venham a ser celebrados pela Contratada. </w:t>
      </w:r>
    </w:p>
    <w:p>
      <w:pPr>
        <w:pStyle w:val="28"/>
        <w:numPr>
          <w:ilvl w:val="1"/>
          <w:numId w:val="17"/>
        </w:numPr>
        <w:tabs>
          <w:tab w:val="left" w:pos="993"/>
        </w:tabs>
        <w:spacing w:before="0" w:beforeAutospacing="0" w:after="0" w:afterAutospacing="0"/>
        <w:ind w:left="0" w:firstLine="567"/>
        <w:jc w:val="both"/>
      </w:pPr>
      <w:r>
        <w:rPr>
          <w:sz w:val="22"/>
          <w:szCs w:val="22"/>
        </w:rPr>
        <w:t xml:space="preserve">Terminado o tratamento dos dados nos termos do </w:t>
      </w:r>
      <w:r>
        <w:fldChar w:fldCharType="begin"/>
      </w:r>
      <w:r>
        <w:rPr>
          <w:rStyle w:val="54"/>
          <w:sz w:val="22"/>
          <w:szCs w:val="22"/>
        </w:rPr>
        <w:instrText xml:space="preserve"> HYPERLINK "https://www.planalto.gov.br/ccivil_03/_ato2015-2018/2018/lei/l13709.htm" \l "art15"</w:instrText>
      </w:r>
      <w:r>
        <w:rPr>
          <w:rStyle w:val="54"/>
          <w:sz w:val="22"/>
          <w:szCs w:val="22"/>
        </w:rPr>
        <w:fldChar w:fldCharType="separate"/>
      </w:r>
      <w:r>
        <w:rPr>
          <w:rStyle w:val="54"/>
          <w:sz w:val="22"/>
          <w:szCs w:val="22"/>
        </w:rPr>
        <w:t>art. 15 da Lei Federal nº 13.709, de 2018</w:t>
      </w:r>
      <w:r>
        <w:rPr>
          <w:rStyle w:val="54"/>
          <w:sz w:val="22"/>
          <w:szCs w:val="22"/>
        </w:rPr>
        <w:fldChar w:fldCharType="end"/>
      </w:r>
      <w:r>
        <w:rPr>
          <w:sz w:val="22"/>
          <w:szCs w:val="22"/>
        </w:rPr>
        <w:t xml:space="preserve">, é dever da Contratada eliminá-los, com exceção das hipóteses do </w:t>
      </w:r>
      <w:r>
        <w:fldChar w:fldCharType="begin"/>
      </w:r>
      <w:r>
        <w:rPr>
          <w:rStyle w:val="54"/>
          <w:sz w:val="22"/>
          <w:szCs w:val="22"/>
        </w:rPr>
        <w:instrText xml:space="preserve"> HYPERLINK "https://www.planalto.gov.br/ccivil_03/_ato2015-2018/2018/lei/l13709.htm" \l "art16"</w:instrText>
      </w:r>
      <w:r>
        <w:rPr>
          <w:rStyle w:val="54"/>
          <w:sz w:val="22"/>
          <w:szCs w:val="22"/>
        </w:rPr>
        <w:fldChar w:fldCharType="separate"/>
      </w:r>
      <w:r>
        <w:rPr>
          <w:rStyle w:val="54"/>
          <w:sz w:val="22"/>
          <w:szCs w:val="22"/>
        </w:rPr>
        <w:t>art. 16 da Lei Federal nº 13.709, de 2018</w:t>
      </w:r>
      <w:r>
        <w:rPr>
          <w:rStyle w:val="54"/>
          <w:sz w:val="22"/>
          <w:szCs w:val="22"/>
        </w:rPr>
        <w:fldChar w:fldCharType="end"/>
      </w:r>
      <w:r>
        <w:rPr>
          <w:sz w:val="22"/>
          <w:szCs w:val="22"/>
        </w:rPr>
        <w:t xml:space="preserve">, incluindo aquelas em que houver necessidade de guarda de documentação para fins de comprovação do cumprimento de obrigações legais ou contratuais e somente enquanto não prescritas essas obrigações. </w:t>
      </w:r>
    </w:p>
    <w:p>
      <w:pPr>
        <w:pStyle w:val="28"/>
        <w:numPr>
          <w:ilvl w:val="1"/>
          <w:numId w:val="17"/>
        </w:numPr>
        <w:tabs>
          <w:tab w:val="left" w:pos="993"/>
        </w:tabs>
        <w:spacing w:before="0" w:beforeAutospacing="0" w:after="0" w:afterAutospacing="0"/>
        <w:ind w:left="0" w:firstLine="567"/>
        <w:jc w:val="both"/>
      </w:pPr>
      <w:r>
        <w:rPr>
          <w:sz w:val="22"/>
          <w:szCs w:val="22"/>
        </w:rPr>
        <w:t xml:space="preserve">É dever da Contratada orientar e treinar seus empregados sobre os deveres, requisitos e responsabilidades decorrentes da </w:t>
      </w:r>
      <w:r>
        <w:fldChar w:fldCharType="begin"/>
      </w:r>
      <w:r>
        <w:instrText xml:space="preserve"> HYPERLINK "https://www.planalto.gov.br/ccivil_03/_ato2015-2018/2018/lei/l13709.htm" \h </w:instrText>
      </w:r>
      <w:r>
        <w:fldChar w:fldCharType="separate"/>
      </w:r>
      <w:r>
        <w:rPr>
          <w:rStyle w:val="54"/>
          <w:sz w:val="22"/>
          <w:szCs w:val="22"/>
        </w:rPr>
        <w:t>Lei Federal nº 13.709, de 2018</w:t>
      </w:r>
      <w:r>
        <w:rPr>
          <w:rStyle w:val="54"/>
          <w:sz w:val="22"/>
          <w:szCs w:val="22"/>
        </w:rPr>
        <w:fldChar w:fldCharType="end"/>
      </w:r>
      <w:r>
        <w:rPr>
          <w:sz w:val="22"/>
          <w:szCs w:val="22"/>
        </w:rPr>
        <w:t xml:space="preserve">. </w:t>
      </w:r>
    </w:p>
    <w:p>
      <w:pPr>
        <w:pStyle w:val="28"/>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deverá exigir de suboperadores e subcontratadas o cumprimento dos deveres da presente cláusula, permanecendo integralmente responsável por garantir sua observância.</w:t>
      </w:r>
    </w:p>
    <w:p>
      <w:pPr>
        <w:pStyle w:val="28"/>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O Contratante poderá realizar diligência para aferir o cumprimento dessa cláusula, devendo a Contratada atender prontamente eventuais pedidos de comprovação formulados. </w:t>
      </w:r>
    </w:p>
    <w:p>
      <w:pPr>
        <w:pStyle w:val="28"/>
        <w:numPr>
          <w:ilvl w:val="1"/>
          <w:numId w:val="17"/>
        </w:numPr>
        <w:tabs>
          <w:tab w:val="left" w:pos="993"/>
        </w:tabs>
        <w:spacing w:before="0" w:beforeAutospacing="0" w:after="0" w:afterAutospacing="0"/>
        <w:ind w:left="0" w:firstLine="567"/>
        <w:jc w:val="both"/>
      </w:pPr>
      <w:r>
        <w:rPr>
          <w:sz w:val="22"/>
          <w:szCs w:val="22"/>
        </w:rPr>
        <w:t xml:space="preserve">A Contratada deverá prestar, no prazo fixado pelo Contratante, prorrogável justificadamente, quaisquer informações acerca dos dados pessoais para cumprimento da </w:t>
      </w:r>
      <w:r>
        <w:fldChar w:fldCharType="begin"/>
      </w:r>
      <w:r>
        <w:instrText xml:space="preserve"> HYPERLINK "https://www.planalto.gov.br/ccivil_03/_ato2015-2018/2018/lei/l13709.htm" \h </w:instrText>
      </w:r>
      <w:r>
        <w:fldChar w:fldCharType="separate"/>
      </w:r>
      <w:r>
        <w:rPr>
          <w:rStyle w:val="54"/>
          <w:sz w:val="22"/>
          <w:szCs w:val="22"/>
        </w:rPr>
        <w:t>Lei Federal nº 13.709, de 2018</w:t>
      </w:r>
      <w:r>
        <w:rPr>
          <w:rStyle w:val="54"/>
          <w:sz w:val="22"/>
          <w:szCs w:val="22"/>
        </w:rPr>
        <w:fldChar w:fldCharType="end"/>
      </w:r>
      <w:r>
        <w:rPr>
          <w:sz w:val="22"/>
          <w:szCs w:val="22"/>
        </w:rPr>
        <w:t xml:space="preserve">, inclusive quanto a eventual descarte realizado. </w:t>
      </w:r>
    </w:p>
    <w:p>
      <w:pPr>
        <w:pStyle w:val="28"/>
        <w:numPr>
          <w:ilvl w:val="1"/>
          <w:numId w:val="17"/>
        </w:numPr>
        <w:tabs>
          <w:tab w:val="left" w:pos="993"/>
        </w:tabs>
        <w:spacing w:before="0" w:beforeAutospacing="0" w:after="0" w:afterAutospacing="0"/>
        <w:ind w:left="0" w:firstLine="567"/>
        <w:jc w:val="both"/>
      </w:pPr>
      <w:r>
        <w:rPr>
          <w:sz w:val="22"/>
          <w:szCs w:val="22"/>
        </w:rPr>
        <w:t>Bancos de dados formados a partir de contratos administrativos, notadamente aqueles que se proponham a armazenar dados pessoais, devem ser mantidos em ambiente virtual controlado, com registro individual rastreável de tratamentos realizados (</w:t>
      </w:r>
      <w:r>
        <w:fldChar w:fldCharType="begin"/>
      </w:r>
      <w:r>
        <w:instrText xml:space="preserve"> HYPERLINK "https://www.planalto.gov.br/ccivil_03/_ato2015-2018/2018/lei/l13709.htm" \h </w:instrText>
      </w:r>
      <w:r>
        <w:fldChar w:fldCharType="separate"/>
      </w:r>
      <w:r>
        <w:rPr>
          <w:rStyle w:val="54"/>
          <w:sz w:val="22"/>
          <w:szCs w:val="22"/>
        </w:rPr>
        <w:t>art. 37 da Lei Federal nº 13.709, de 2018</w:t>
      </w:r>
      <w:r>
        <w:rPr>
          <w:rStyle w:val="54"/>
          <w:sz w:val="22"/>
          <w:szCs w:val="22"/>
        </w:rPr>
        <w:fldChar w:fldCharType="end"/>
      </w:r>
      <w:r>
        <w:rPr>
          <w:sz w:val="22"/>
          <w:szCs w:val="22"/>
        </w:rPr>
        <w:t>), com cada acesso, data, horário e registro da finalidade, para efeito de responsabilização, em caso de eventuais omissões, desvios ou abusos.</w:t>
      </w:r>
    </w:p>
    <w:p>
      <w:pPr>
        <w:pStyle w:val="28"/>
        <w:numPr>
          <w:ilvl w:val="1"/>
          <w:numId w:val="17"/>
        </w:numPr>
        <w:tabs>
          <w:tab w:val="left" w:pos="993"/>
        </w:tabs>
        <w:spacing w:before="0" w:beforeAutospacing="0" w:after="0" w:afterAutospacing="0"/>
        <w:ind w:left="0" w:firstLine="567"/>
        <w:jc w:val="both"/>
      </w:pPr>
      <w:r>
        <w:rPr>
          <w:sz w:val="22"/>
          <w:szCs w:val="22"/>
        </w:rPr>
        <w:t xml:space="preserve">Os referidos bancos de dados devem ser desenvolvidos em formato interoperável, a fim de garantir a reutilização desses dados pela Administração nas hipóteses previstas na </w:t>
      </w:r>
      <w:r>
        <w:fldChar w:fldCharType="begin"/>
      </w:r>
      <w:r>
        <w:instrText xml:space="preserve"> HYPERLINK "https://www.planalto.gov.br/ccivil_03/_ato2015-2018/2018/lei/l13709.htm" \h </w:instrText>
      </w:r>
      <w:r>
        <w:fldChar w:fldCharType="separate"/>
      </w:r>
      <w:r>
        <w:rPr>
          <w:rStyle w:val="54"/>
          <w:sz w:val="22"/>
          <w:szCs w:val="22"/>
        </w:rPr>
        <w:t>Lei Federal nº 13.709, de 2018</w:t>
      </w:r>
      <w:r>
        <w:rPr>
          <w:rStyle w:val="54"/>
          <w:sz w:val="22"/>
          <w:szCs w:val="22"/>
        </w:rPr>
        <w:fldChar w:fldCharType="end"/>
      </w:r>
      <w:r>
        <w:rPr>
          <w:sz w:val="22"/>
          <w:szCs w:val="22"/>
        </w:rPr>
        <w:t>.</w:t>
      </w:r>
    </w:p>
    <w:p>
      <w:pPr>
        <w:pStyle w:val="28"/>
        <w:numPr>
          <w:ilvl w:val="1"/>
          <w:numId w:val="17"/>
        </w:numPr>
        <w:tabs>
          <w:tab w:val="left" w:pos="993"/>
        </w:tabs>
        <w:spacing w:before="0" w:beforeAutospacing="0" w:after="0" w:afterAutospacing="0"/>
        <w:ind w:left="0" w:firstLine="567"/>
        <w:jc w:val="both"/>
      </w:pPr>
      <w:r>
        <w:rPr>
          <w:sz w:val="22"/>
          <w:szCs w:val="22"/>
        </w:rPr>
        <w:t xml:space="preserve">O contrato está sujeito a ser alterado nos procedimentos pertinentes ao tratamento de dados pessoais, quando indicado pela autoridade competente, em especial a ANPD por meio de opiniões técnicas ou recomendações, editadas na forma da </w:t>
      </w:r>
      <w:r>
        <w:fldChar w:fldCharType="begin"/>
      </w:r>
      <w:r>
        <w:instrText xml:space="preserve"> HYPERLINK "https://www.planalto.gov.br/ccivil_03/_ato2015-2018/2018/lei/l13709.htm" \h </w:instrText>
      </w:r>
      <w:r>
        <w:fldChar w:fldCharType="separate"/>
      </w:r>
      <w:r>
        <w:rPr>
          <w:rStyle w:val="54"/>
          <w:sz w:val="22"/>
          <w:szCs w:val="22"/>
        </w:rPr>
        <w:t>Lei Federal nº 13.709, de 2018</w:t>
      </w:r>
      <w:r>
        <w:rPr>
          <w:rStyle w:val="54"/>
          <w:sz w:val="22"/>
          <w:szCs w:val="22"/>
        </w:rPr>
        <w:fldChar w:fldCharType="end"/>
      </w:r>
      <w:r>
        <w:rPr>
          <w:sz w:val="22"/>
          <w:szCs w:val="22"/>
        </w:rPr>
        <w:t>.</w:t>
      </w:r>
    </w:p>
    <w:p>
      <w:pPr>
        <w:pStyle w:val="28"/>
        <w:numPr>
          <w:ilvl w:val="0"/>
          <w:numId w:val="17"/>
        </w:numPr>
        <w:pBdr>
          <w:bottom w:val="single" w:color="000000" w:themeColor="dark1" w:sz="4" w:space="1"/>
        </w:pBdr>
        <w:shd w:val="clear" w:color="auto" w:fill="BEBEBE" w:themeFill="background1" w:themeFillShade="BF"/>
        <w:spacing w:before="0" w:beforeAutospacing="0" w:after="0" w:afterAutospacing="0"/>
        <w:jc w:val="both"/>
      </w:pPr>
      <w:r>
        <w:rPr>
          <w:rStyle w:val="11"/>
          <w:color w:val="000000"/>
          <w:sz w:val="22"/>
          <w:szCs w:val="22"/>
        </w:rPr>
        <w:t xml:space="preserve">PRAZOS </w:t>
      </w:r>
      <w:r>
        <w:rPr>
          <w:rStyle w:val="11"/>
          <w:b w:val="0"/>
          <w:bCs w:val="0"/>
          <w:color w:val="000000"/>
          <w:sz w:val="22"/>
          <w:szCs w:val="22"/>
        </w:rPr>
        <w:t>(</w:t>
      </w:r>
      <w:r>
        <w:fldChar w:fldCharType="begin"/>
      </w:r>
      <w:r>
        <w:rPr>
          <w:rStyle w:val="54"/>
          <w:sz w:val="22"/>
          <w:szCs w:val="22"/>
        </w:rPr>
        <w:instrText xml:space="preserve"> HYPERLINK "http://www.planalto.gov.br/ccivil_03/_ato2019-2022/2021/lei/L14133.htm" \l "art92"</w:instrText>
      </w:r>
      <w:r>
        <w:rPr>
          <w:rStyle w:val="54"/>
          <w:sz w:val="22"/>
          <w:szCs w:val="22"/>
        </w:rPr>
        <w:fldChar w:fldCharType="separate"/>
      </w:r>
      <w:r>
        <w:rPr>
          <w:rStyle w:val="54"/>
          <w:sz w:val="22"/>
          <w:szCs w:val="22"/>
        </w:rPr>
        <w:t>art. 92, VII, da Lei Federal nº 14.133, de 2021</w:t>
      </w:r>
      <w:r>
        <w:rPr>
          <w:rStyle w:val="54"/>
          <w:sz w:val="22"/>
          <w:szCs w:val="22"/>
        </w:rPr>
        <w:fldChar w:fldCharType="end"/>
      </w:r>
      <w:r>
        <w:rPr>
          <w:rStyle w:val="11"/>
          <w:b w:val="0"/>
          <w:bCs w:val="0"/>
          <w:color w:val="000000"/>
          <w:sz w:val="22"/>
          <w:szCs w:val="22"/>
        </w:rPr>
        <w:t>)</w:t>
      </w:r>
    </w:p>
    <w:p>
      <w:pPr>
        <w:pStyle w:val="28"/>
        <w:numPr>
          <w:ilvl w:val="1"/>
          <w:numId w:val="17"/>
        </w:numPr>
        <w:tabs>
          <w:tab w:val="left" w:pos="993"/>
        </w:tabs>
        <w:spacing w:before="0" w:beforeAutospacing="0" w:after="0" w:afterAutospacing="0"/>
        <w:ind w:left="0" w:firstLine="567"/>
        <w:jc w:val="both"/>
      </w:pPr>
      <w:r>
        <w:rPr>
          <w:color w:val="000000"/>
          <w:sz w:val="22"/>
          <w:szCs w:val="22"/>
        </w:rPr>
        <w:t>A execução dos serviços será precedida de solicitação com, no mínimo, 48 (quarenta e oito) horas de antecedência e deverá ser executado nas datas e horários solicitados, salvo em caso fortuito ou de força maior (</w:t>
      </w:r>
      <w:r>
        <w:fldChar w:fldCharType="begin"/>
      </w:r>
      <w:r>
        <w:instrText xml:space="preserve"> HYPERLINK "https://www.planalto.gov.br/ccivil_03/leis/2002/l10406compilada.htm" \h </w:instrText>
      </w:r>
      <w:r>
        <w:fldChar w:fldCharType="separate"/>
      </w:r>
      <w:r>
        <w:rPr>
          <w:rStyle w:val="54"/>
          <w:sz w:val="22"/>
          <w:szCs w:val="22"/>
        </w:rPr>
        <w:t>art. 393 da Lei Federal nº 10.406, de 2002</w:t>
      </w:r>
      <w:r>
        <w:rPr>
          <w:rStyle w:val="54"/>
          <w:sz w:val="22"/>
          <w:szCs w:val="22"/>
        </w:rPr>
        <w:fldChar w:fldCharType="end"/>
      </w:r>
      <w:r>
        <w:rPr>
          <w:color w:val="000000"/>
          <w:sz w:val="22"/>
          <w:szCs w:val="22"/>
        </w:rPr>
        <w:t>).</w:t>
      </w:r>
    </w:p>
    <w:p>
      <w:pPr>
        <w:pStyle w:val="28"/>
        <w:numPr>
          <w:ilvl w:val="0"/>
          <w:numId w:val="17"/>
        </w:numPr>
        <w:pBdr>
          <w:bottom w:val="single" w:color="000000" w:themeColor="dark1" w:sz="4" w:space="1"/>
        </w:pBdr>
        <w:shd w:val="clear" w:color="auto" w:fill="BEBEBE" w:themeFill="background1" w:themeFillShade="BF"/>
        <w:spacing w:before="0" w:beforeAutospacing="0" w:after="0" w:afterAutospacing="0"/>
        <w:jc w:val="both"/>
      </w:pPr>
      <w:r>
        <w:rPr>
          <w:rStyle w:val="11"/>
          <w:color w:val="000000"/>
          <w:sz w:val="22"/>
          <w:szCs w:val="22"/>
        </w:rPr>
        <w:t xml:space="preserve">RECEBIMENTO DO OBJETO </w:t>
      </w:r>
      <w:r>
        <w:rPr>
          <w:rStyle w:val="11"/>
          <w:b w:val="0"/>
          <w:bCs w:val="0"/>
          <w:color w:val="000000"/>
          <w:sz w:val="22"/>
          <w:szCs w:val="22"/>
        </w:rPr>
        <w:t>(</w:t>
      </w:r>
      <w:r>
        <w:fldChar w:fldCharType="begin"/>
      </w:r>
      <w:r>
        <w:rPr>
          <w:rStyle w:val="54"/>
          <w:sz w:val="22"/>
          <w:szCs w:val="22"/>
        </w:rPr>
        <w:instrText xml:space="preserve"> HYPERLINK "https://www.planalto.gov.br/ccivil_03/_ato2019-2022/2021/lei/l14133.htm" \l "art140"</w:instrText>
      </w:r>
      <w:r>
        <w:rPr>
          <w:rStyle w:val="54"/>
          <w:sz w:val="22"/>
          <w:szCs w:val="22"/>
        </w:rPr>
        <w:fldChar w:fldCharType="separate"/>
      </w:r>
      <w:r>
        <w:rPr>
          <w:rStyle w:val="54"/>
          <w:sz w:val="22"/>
          <w:szCs w:val="22"/>
        </w:rPr>
        <w:t>art. 140, I, da Lei Federal nº 14.133, de 2021</w:t>
      </w:r>
      <w:r>
        <w:rPr>
          <w:rStyle w:val="54"/>
          <w:sz w:val="22"/>
          <w:szCs w:val="22"/>
        </w:rPr>
        <w:fldChar w:fldCharType="end"/>
      </w:r>
      <w:r>
        <w:rPr>
          <w:rStyle w:val="11"/>
          <w:b w:val="0"/>
          <w:bCs w:val="0"/>
          <w:color w:val="000000"/>
          <w:sz w:val="22"/>
          <w:szCs w:val="22"/>
        </w:rPr>
        <w:t>)</w:t>
      </w:r>
    </w:p>
    <w:p>
      <w:pPr>
        <w:pStyle w:val="28"/>
        <w:numPr>
          <w:ilvl w:val="1"/>
          <w:numId w:val="17"/>
        </w:numPr>
        <w:tabs>
          <w:tab w:val="left" w:pos="993"/>
        </w:tabs>
        <w:spacing w:before="0" w:beforeAutospacing="0" w:after="0" w:afterAutospacing="0"/>
        <w:ind w:left="0" w:firstLine="567"/>
        <w:jc w:val="both"/>
        <w:rPr>
          <w:color w:val="000000"/>
          <w:sz w:val="22"/>
          <w:szCs w:val="22"/>
        </w:rPr>
      </w:pPr>
      <w:r>
        <w:rPr>
          <w:color w:val="000000"/>
          <w:sz w:val="22"/>
          <w:szCs w:val="22"/>
        </w:rPr>
        <w:t xml:space="preserve">A entrega do(s) serviço(s) será(ão) realizada(s) preferencialmente de forma única por etapa, de acordo com a descrição dos serviços contida no </w:t>
      </w:r>
      <w:r>
        <w:rPr>
          <w:rStyle w:val="45"/>
          <w:color w:val="000000"/>
          <w:sz w:val="22"/>
          <w:szCs w:val="22"/>
        </w:rPr>
        <w:t>Termo de Referência</w:t>
      </w:r>
      <w:r>
        <w:rPr>
          <w:color w:val="000000"/>
          <w:sz w:val="22"/>
          <w:szCs w:val="22"/>
        </w:rPr>
        <w:t xml:space="preserve">, acompanhada de Nota Fiscal correspondente, a qual deverá ser preenchida com as especificações apresentadas neste Instrumento de Contrato e/ou no </w:t>
      </w:r>
      <w:r>
        <w:rPr>
          <w:rStyle w:val="45"/>
          <w:color w:val="000000"/>
          <w:sz w:val="22"/>
          <w:szCs w:val="22"/>
        </w:rPr>
        <w:t>Termo de Referência</w:t>
      </w:r>
      <w:r>
        <w:rPr>
          <w:color w:val="000000"/>
          <w:sz w:val="22"/>
          <w:szCs w:val="22"/>
        </w:rPr>
        <w:t>.</w:t>
      </w:r>
    </w:p>
    <w:p>
      <w:pPr>
        <w:pStyle w:val="28"/>
        <w:numPr>
          <w:ilvl w:val="1"/>
          <w:numId w:val="17"/>
        </w:numPr>
        <w:tabs>
          <w:tab w:val="left" w:pos="993"/>
        </w:tabs>
        <w:spacing w:before="0" w:beforeAutospacing="0" w:after="0" w:afterAutospacing="0"/>
        <w:ind w:left="0" w:firstLine="567"/>
        <w:jc w:val="both"/>
        <w:rPr>
          <w:color w:val="000000"/>
          <w:sz w:val="22"/>
          <w:szCs w:val="22"/>
        </w:rPr>
      </w:pPr>
      <w:r>
        <w:rPr>
          <w:color w:val="000000"/>
          <w:sz w:val="22"/>
          <w:szCs w:val="22"/>
        </w:rPr>
        <w:t xml:space="preserve"> entrega deverá ocorrer:</w:t>
      </w:r>
    </w:p>
    <w:p>
      <w:pPr>
        <w:pStyle w:val="3"/>
        <w:numPr>
          <w:ilvl w:val="2"/>
          <w:numId w:val="18"/>
        </w:numPr>
        <w:tabs>
          <w:tab w:val="left" w:pos="1134"/>
        </w:tabs>
        <w:spacing w:before="120" w:beforeAutospacing="0" w:after="120" w:afterAutospacing="0" w:line="240" w:lineRule="auto"/>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Endereço: </w:t>
      </w:r>
      <w:r>
        <w:rPr>
          <w:rFonts w:hint="default" w:ascii="Times New Roman" w:hAnsi="Times New Roman" w:eastAsia="Arial" w:cs="Times New Roman"/>
          <w:b/>
          <w:bCs/>
          <w:sz w:val="22"/>
          <w:szCs w:val="22"/>
          <w:highlight w:val="none"/>
          <w:lang w:val="pt-BR"/>
        </w:rPr>
        <w:t>Av. Primavera, nº 300, Bairro Primavera II</w:t>
      </w:r>
      <w:r>
        <w:rPr>
          <w:rFonts w:hint="default" w:ascii="Times New Roman" w:hAnsi="Times New Roman" w:cs="Times New Roman"/>
          <w:color w:val="000000"/>
          <w:sz w:val="22"/>
          <w:szCs w:val="22"/>
        </w:rPr>
        <w:t>;</w:t>
      </w:r>
    </w:p>
    <w:p>
      <w:pPr>
        <w:pStyle w:val="3"/>
        <w:numPr>
          <w:ilvl w:val="2"/>
          <w:numId w:val="19"/>
        </w:numPr>
        <w:tabs>
          <w:tab w:val="left" w:pos="1134"/>
        </w:tabs>
        <w:spacing w:before="120" w:beforeAutospacing="0" w:after="120" w:afterAutospacing="0" w:line="240" w:lineRule="auto"/>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Responsável:</w:t>
      </w:r>
      <w:r>
        <w:rPr>
          <w:rFonts w:hint="default" w:ascii="Times New Roman" w:hAnsi="Times New Roman" w:cs="Times New Roman"/>
          <w:b/>
          <w:bCs/>
          <w:color w:val="000000"/>
          <w:sz w:val="22"/>
          <w:szCs w:val="22"/>
          <w:lang w:val="pt-BR"/>
        </w:rPr>
        <w:t xml:space="preserve"> Fiscal de Contrato designados por Ato Formal</w:t>
      </w:r>
      <w:r>
        <w:rPr>
          <w:rFonts w:hint="default" w:ascii="Times New Roman" w:hAnsi="Times New Roman" w:cs="Times New Roman"/>
          <w:color w:val="000000"/>
          <w:sz w:val="22"/>
          <w:szCs w:val="22"/>
        </w:rPr>
        <w:t>;</w:t>
      </w:r>
    </w:p>
    <w:p>
      <w:pPr>
        <w:pStyle w:val="3"/>
        <w:numPr>
          <w:ilvl w:val="2"/>
          <w:numId w:val="19"/>
        </w:numPr>
        <w:tabs>
          <w:tab w:val="left" w:pos="1134"/>
        </w:tabs>
        <w:spacing w:before="120" w:beforeAutospacing="0" w:after="120" w:afterAutospacing="0" w:line="240" w:lineRule="auto"/>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Telefone:</w:t>
      </w:r>
      <w:r>
        <w:rPr>
          <w:rFonts w:hint="default" w:ascii="Times New Roman" w:hAnsi="Times New Roman" w:cs="Times New Roman"/>
          <w:color w:val="000000"/>
          <w:sz w:val="22"/>
          <w:szCs w:val="22"/>
          <w:lang w:val="pt-BR"/>
        </w:rPr>
        <w:t xml:space="preserve"> </w:t>
      </w:r>
      <w:r>
        <w:rPr>
          <w:rFonts w:hint="default" w:ascii="Times New Roman" w:hAnsi="Times New Roman" w:cs="Times New Roman"/>
          <w:b/>
          <w:bCs/>
          <w:color w:val="000000"/>
          <w:sz w:val="22"/>
          <w:szCs w:val="22"/>
          <w:lang w:val="pt-BR"/>
        </w:rPr>
        <w:t>(66) 3498-3590</w:t>
      </w:r>
      <w:r>
        <w:rPr>
          <w:rFonts w:hint="default" w:ascii="Times New Roman" w:hAnsi="Times New Roman" w:cs="Times New Roman"/>
          <w:color w:val="000000"/>
          <w:sz w:val="22"/>
          <w:szCs w:val="22"/>
        </w:rPr>
        <w:t>;</w:t>
      </w:r>
    </w:p>
    <w:p>
      <w:pPr>
        <w:pStyle w:val="3"/>
        <w:numPr>
          <w:ilvl w:val="2"/>
          <w:numId w:val="19"/>
        </w:numPr>
        <w:tabs>
          <w:tab w:val="left" w:pos="1134"/>
        </w:tabs>
        <w:spacing w:before="120" w:beforeAutospacing="0" w:after="120" w:afterAutospacing="0" w:line="240" w:lineRule="auto"/>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E-mail:</w:t>
      </w:r>
      <w:r>
        <w:rPr>
          <w:rFonts w:hint="default" w:ascii="Times New Roman" w:hAnsi="Times New Roman" w:cs="Times New Roman"/>
          <w:color w:val="000000"/>
          <w:sz w:val="22"/>
          <w:szCs w:val="22"/>
          <w:lang w:val="pt-BR"/>
        </w:rPr>
        <w:t xml:space="preserve"> </w:t>
      </w:r>
      <w:r>
        <w:rPr>
          <w:rFonts w:hint="default" w:ascii="Times New Roman" w:hAnsi="Times New Roman" w:cs="Times New Roman"/>
          <w:b/>
          <w:bCs/>
          <w:color w:val="000000"/>
          <w:sz w:val="22"/>
          <w:szCs w:val="22"/>
          <w:lang w:val="pt-BR"/>
        </w:rPr>
        <w:t>licitacao@primaveradoleste.mt.leg.br</w:t>
      </w:r>
      <w:r>
        <w:rPr>
          <w:rFonts w:hint="default" w:ascii="Times New Roman" w:hAnsi="Times New Roman" w:cs="Times New Roman"/>
          <w:color w:val="000000"/>
          <w:sz w:val="22"/>
          <w:szCs w:val="22"/>
        </w:rPr>
        <w:t>;</w:t>
      </w:r>
    </w:p>
    <w:p>
      <w:pPr>
        <w:pStyle w:val="3"/>
        <w:numPr>
          <w:ilvl w:val="2"/>
          <w:numId w:val="19"/>
        </w:numPr>
        <w:tabs>
          <w:tab w:val="left" w:pos="1134"/>
        </w:tabs>
        <w:spacing w:before="120" w:beforeAutospacing="0" w:after="120" w:afterAutospacing="0" w:line="240" w:lineRule="auto"/>
        <w:jc w:val="both"/>
        <w:textAlignment w:val="baseline"/>
        <w:rPr>
          <w:rFonts w:ascii="Times New Roman" w:hAnsi="Times New Roman"/>
          <w:sz w:val="22"/>
          <w:szCs w:val="22"/>
        </w:rPr>
      </w:pPr>
      <w:r>
        <w:rPr>
          <w:rFonts w:hint="default" w:ascii="Times New Roman" w:hAnsi="Times New Roman" w:cs="Times New Roman"/>
          <w:color w:val="000000"/>
          <w:sz w:val="22"/>
          <w:szCs w:val="22"/>
        </w:rPr>
        <w:t>Horário de Funcionamento:</w:t>
      </w:r>
      <w:r>
        <w:rPr>
          <w:rFonts w:hint="default" w:ascii="Times New Roman" w:hAnsi="Times New Roman" w:cs="Times New Roman"/>
          <w:color w:val="000000"/>
          <w:sz w:val="22"/>
          <w:szCs w:val="22"/>
          <w:lang w:val="pt-BR"/>
        </w:rPr>
        <w:t xml:space="preserve"> </w:t>
      </w:r>
      <w:r>
        <w:rPr>
          <w:rFonts w:hint="default" w:ascii="Times New Roman" w:hAnsi="Times New Roman" w:cs="Times New Roman"/>
          <w:b/>
          <w:bCs/>
          <w:color w:val="000000"/>
          <w:sz w:val="22"/>
          <w:szCs w:val="22"/>
          <w:lang w:val="pt-BR"/>
        </w:rPr>
        <w:t>07:00 às 13:00</w:t>
      </w:r>
      <w:r>
        <w:rPr>
          <w:rFonts w:hint="default" w:ascii="Times New Roman" w:hAnsi="Times New Roman" w:cs="Times New Roman"/>
          <w:color w:val="000000"/>
          <w:sz w:val="22"/>
          <w:szCs w:val="22"/>
          <w:lang w:val="pt-BR"/>
        </w:rPr>
        <w:t xml:space="preserve"> </w:t>
      </w:r>
      <w:r>
        <w:rPr>
          <w:rFonts w:hint="default" w:ascii="Times New Roman" w:hAnsi="Times New Roman" w:cs="Times New Roman"/>
          <w:color w:val="000000"/>
          <w:sz w:val="22"/>
          <w:szCs w:val="22"/>
        </w:rPr>
        <w:t>no horário oficial de Mato Grosso (GMT -04:00);</w:t>
      </w:r>
    </w:p>
    <w:p>
      <w:pPr>
        <w:pStyle w:val="28"/>
        <w:numPr>
          <w:ilvl w:val="1"/>
          <w:numId w:val="17"/>
        </w:numPr>
        <w:tabs>
          <w:tab w:val="left" w:pos="993"/>
        </w:tabs>
        <w:spacing w:before="120" w:beforeAutospacing="0" w:after="0" w:afterAutospacing="0"/>
        <w:ind w:left="0" w:firstLine="567"/>
        <w:jc w:val="both"/>
      </w:pPr>
      <w:r>
        <w:rPr>
          <w:color w:val="000000"/>
          <w:sz w:val="22"/>
          <w:szCs w:val="22"/>
        </w:rPr>
        <w:t xml:space="preserve">O prazo de entrega será conforme cronograma indicado anteriormente, salvo se prazo maior houver sido previsto no </w:t>
      </w:r>
      <w:r>
        <w:rPr>
          <w:rStyle w:val="45"/>
          <w:color w:val="000000"/>
          <w:sz w:val="22"/>
          <w:szCs w:val="22"/>
        </w:rPr>
        <w:t>Termo de Referência</w:t>
      </w:r>
      <w:r>
        <w:rPr>
          <w:color w:val="000000"/>
          <w:sz w:val="22"/>
          <w:szCs w:val="22"/>
        </w:rPr>
        <w:t>.</w:t>
      </w:r>
    </w:p>
    <w:p>
      <w:pPr>
        <w:pStyle w:val="28"/>
        <w:numPr>
          <w:ilvl w:val="1"/>
          <w:numId w:val="17"/>
        </w:numPr>
        <w:tabs>
          <w:tab w:val="left" w:pos="993"/>
        </w:tabs>
        <w:spacing w:before="0" w:beforeAutospacing="0" w:after="120" w:afterAutospacing="0"/>
        <w:ind w:left="0" w:firstLine="567"/>
        <w:jc w:val="both"/>
      </w:pPr>
      <w:r>
        <w:rPr>
          <w:color w:val="000000"/>
          <w:sz w:val="22"/>
          <w:szCs w:val="22"/>
        </w:rPr>
        <w:t>Após a execução, o objeto do contrato será recebido (</w:t>
      </w:r>
      <w:r>
        <w:fldChar w:fldCharType="begin"/>
      </w:r>
      <w:r>
        <w:rPr>
          <w:rStyle w:val="54"/>
          <w:sz w:val="22"/>
          <w:szCs w:val="22"/>
        </w:rPr>
        <w:instrText xml:space="preserve"> HYPERLINK "https://www.planalto.gov.br/ccivil_03/_ato2019-2022/2021/lei/l14133.htm" \l "art140"</w:instrText>
      </w:r>
      <w:r>
        <w:rPr>
          <w:rStyle w:val="54"/>
          <w:sz w:val="22"/>
          <w:szCs w:val="22"/>
        </w:rPr>
        <w:fldChar w:fldCharType="separate"/>
      </w:r>
      <w:r>
        <w:rPr>
          <w:rStyle w:val="54"/>
          <w:sz w:val="22"/>
          <w:szCs w:val="22"/>
        </w:rPr>
        <w:t>art. 140, I, da Lei Federal nº 14.133, de 2021</w:t>
      </w:r>
      <w:r>
        <w:rPr>
          <w:rStyle w:val="54"/>
          <w:sz w:val="22"/>
          <w:szCs w:val="22"/>
        </w:rPr>
        <w:fldChar w:fldCharType="end"/>
      </w:r>
      <w:r>
        <w:rPr>
          <w:color w:val="000000"/>
          <w:sz w:val="22"/>
          <w:szCs w:val="22"/>
        </w:rPr>
        <w:t>):</w:t>
      </w:r>
    </w:p>
    <w:p>
      <w:pPr>
        <w:pStyle w:val="3"/>
        <w:numPr>
          <w:ilvl w:val="2"/>
          <w:numId w:val="20"/>
        </w:numPr>
        <w:tabs>
          <w:tab w:val="left" w:pos="0"/>
          <w:tab w:val="left" w:pos="1134"/>
        </w:tabs>
        <w:spacing w:before="120" w:beforeAutospacing="0" w:after="120" w:afterAutospacing="0"/>
        <w:jc w:val="both"/>
        <w:textAlignment w:val="baseline"/>
      </w:pPr>
      <w:r>
        <w:rPr>
          <w:color w:val="000000"/>
          <w:sz w:val="22"/>
          <w:szCs w:val="22"/>
        </w:rPr>
        <w:t>provisoriamente, pelo responsável por seu acompanhamento e fiscalização, mediante termo detalhado, quando verificado o cumprimento das exigências de caráter técnico (</w:t>
      </w:r>
      <w:r>
        <w:fldChar w:fldCharType="begin"/>
      </w:r>
      <w:r>
        <w:rPr>
          <w:rStyle w:val="54"/>
          <w:sz w:val="22"/>
          <w:szCs w:val="22"/>
        </w:rPr>
        <w:instrText xml:space="preserve"> HYPERLINK "https://www.planalto.gov.br/ccivil_03/_ato2019-2022/2021/lei/l14133.htm" \l "art140"</w:instrText>
      </w:r>
      <w:r>
        <w:rPr>
          <w:rStyle w:val="54"/>
          <w:sz w:val="22"/>
          <w:szCs w:val="22"/>
        </w:rPr>
        <w:fldChar w:fldCharType="separate"/>
      </w:r>
      <w:r>
        <w:rPr>
          <w:rStyle w:val="54"/>
          <w:sz w:val="22"/>
          <w:szCs w:val="22"/>
        </w:rPr>
        <w:t>art. 140, I, “a”, da Lei Federal nº 14.133, de 2021</w:t>
      </w:r>
      <w:r>
        <w:rPr>
          <w:rStyle w:val="54"/>
          <w:sz w:val="22"/>
          <w:szCs w:val="22"/>
        </w:rPr>
        <w:fldChar w:fldCharType="end"/>
      </w:r>
      <w:r>
        <w:rPr>
          <w:color w:val="000000"/>
          <w:sz w:val="22"/>
          <w:szCs w:val="22"/>
        </w:rPr>
        <w:t xml:space="preserve">); e </w:t>
      </w:r>
    </w:p>
    <w:p>
      <w:pPr>
        <w:pStyle w:val="3"/>
        <w:numPr>
          <w:ilvl w:val="2"/>
          <w:numId w:val="1"/>
        </w:numPr>
        <w:tabs>
          <w:tab w:val="left" w:pos="1134"/>
        </w:tabs>
        <w:spacing w:before="120" w:beforeAutospacing="0" w:after="120" w:afterAutospacing="0"/>
        <w:jc w:val="both"/>
        <w:textAlignment w:val="baseline"/>
      </w:pPr>
      <w:r>
        <w:rPr>
          <w:color w:val="000000"/>
          <w:sz w:val="22"/>
          <w:szCs w:val="22"/>
        </w:rPr>
        <w:t>definitivamente, por servidor ou comissão designada pela autoridade competente, mediante termo detalhado que comprove o atendimento das exigências contratuais (</w:t>
      </w:r>
      <w:r>
        <w:fldChar w:fldCharType="begin"/>
      </w:r>
      <w:r>
        <w:rPr>
          <w:rStyle w:val="54"/>
          <w:sz w:val="22"/>
          <w:szCs w:val="22"/>
        </w:rPr>
        <w:instrText xml:space="preserve"> HYPERLINK "https://www.planalto.gov.br/ccivil_03/_ato2019-2022/2021/lei/l14133.htm" \l "art140"</w:instrText>
      </w:r>
      <w:r>
        <w:rPr>
          <w:rStyle w:val="54"/>
          <w:sz w:val="22"/>
          <w:szCs w:val="22"/>
        </w:rPr>
        <w:fldChar w:fldCharType="separate"/>
      </w:r>
      <w:r>
        <w:rPr>
          <w:rStyle w:val="54"/>
          <w:sz w:val="22"/>
          <w:szCs w:val="22"/>
        </w:rPr>
        <w:t>art. 140, I, “b”, da Lei Federal nº 14.133, de 2021</w:t>
      </w:r>
      <w:r>
        <w:rPr>
          <w:rStyle w:val="54"/>
          <w:sz w:val="22"/>
          <w:szCs w:val="22"/>
        </w:rPr>
        <w:fldChar w:fldCharType="end"/>
      </w:r>
      <w:r>
        <w:rPr>
          <w:color w:val="000000"/>
          <w:sz w:val="22"/>
          <w:szCs w:val="22"/>
        </w:rPr>
        <w:t>).</w:t>
      </w:r>
    </w:p>
    <w:p>
      <w:pPr>
        <w:pStyle w:val="28"/>
        <w:numPr>
          <w:ilvl w:val="0"/>
          <w:numId w:val="17"/>
        </w:numPr>
        <w:pBdr>
          <w:bottom w:val="single" w:color="000000" w:themeColor="dark1" w:sz="4" w:space="1"/>
        </w:pBdr>
        <w:shd w:val="clear" w:color="auto" w:fill="BEBEBE" w:themeFill="background1" w:themeFillShade="BF"/>
        <w:spacing w:before="360" w:beforeAutospacing="0" w:after="0" w:afterAutospacing="0"/>
        <w:jc w:val="both"/>
      </w:pPr>
      <w:r>
        <w:rPr>
          <w:rStyle w:val="11"/>
          <w:color w:val="000000"/>
          <w:sz w:val="22"/>
          <w:szCs w:val="22"/>
        </w:rPr>
        <w:t>DOTAÇÃO ORÇAMENTÁRIA</w:t>
      </w:r>
      <w:r>
        <w:rPr>
          <w:sz w:val="22"/>
          <w:szCs w:val="22"/>
        </w:rPr>
        <w:t xml:space="preserve"> (</w:t>
      </w:r>
      <w:r>
        <w:fldChar w:fldCharType="begin"/>
      </w:r>
      <w:r>
        <w:rPr>
          <w:rStyle w:val="54"/>
          <w:sz w:val="22"/>
          <w:szCs w:val="22"/>
        </w:rPr>
        <w:instrText xml:space="preserve"> HYPERLINK "http://www.planalto.gov.br/ccivil_03/_ato2019-2022/2021/lei/L14133.htm" \l "art92"</w:instrText>
      </w:r>
      <w:r>
        <w:rPr>
          <w:rStyle w:val="54"/>
          <w:sz w:val="22"/>
          <w:szCs w:val="22"/>
        </w:rPr>
        <w:fldChar w:fldCharType="separate"/>
      </w:r>
      <w:r>
        <w:rPr>
          <w:rStyle w:val="54"/>
          <w:sz w:val="22"/>
          <w:szCs w:val="22"/>
        </w:rPr>
        <w:t>art. 92, VIII</w:t>
      </w:r>
      <w:r>
        <w:rPr>
          <w:rStyle w:val="54"/>
          <w:sz w:val="22"/>
          <w:szCs w:val="22"/>
        </w:rPr>
        <w:fldChar w:fldCharType="end"/>
      </w:r>
      <w:r>
        <w:rPr>
          <w:rStyle w:val="54"/>
          <w:sz w:val="22"/>
          <w:szCs w:val="22"/>
        </w:rPr>
        <w:t>, da Lei Federal nº 14.133, de 2021</w:t>
      </w:r>
      <w:r>
        <w:rPr>
          <w:sz w:val="22"/>
          <w:szCs w:val="22"/>
        </w:rPr>
        <w:t>)</w:t>
      </w:r>
    </w:p>
    <w:p>
      <w:pPr>
        <w:pStyle w:val="28"/>
        <w:tabs>
          <w:tab w:val="left" w:pos="993"/>
        </w:tabs>
        <w:spacing w:before="0" w:beforeAutospacing="0" w:after="0" w:afterAutospacing="0"/>
        <w:ind w:left="0" w:firstLine="0"/>
        <w:jc w:val="both"/>
        <w:rPr>
          <w:rFonts w:ascii="Times New Roman" w:hAnsi="Times New Roman"/>
          <w:sz w:val="22"/>
          <w:szCs w:val="22"/>
        </w:rPr>
      </w:pPr>
      <w:r>
        <w:rPr>
          <w:rFonts w:cs="Arial"/>
          <w:b/>
          <w:bCs/>
          <w:color w:val="000000"/>
          <w:sz w:val="22"/>
          <w:szCs w:val="22"/>
        </w:rPr>
        <w:t xml:space="preserve">11.1 </w:t>
      </w:r>
      <w:r>
        <w:rPr>
          <w:rFonts w:cs="Arial"/>
          <w:color w:val="000000"/>
          <w:sz w:val="22"/>
          <w:szCs w:val="22"/>
        </w:rPr>
        <w:t>As despesas oriundas da presente aquisição correrão por conta de recursos próprios específicos consignados no orçamento da Câmara Municipal de Primavera do Leste nas dotações orçamentárias relacionadas abaixo:</w:t>
      </w:r>
    </w:p>
    <w:p>
      <w:pPr>
        <w:pStyle w:val="28"/>
        <w:tabs>
          <w:tab w:val="left" w:pos="993"/>
        </w:tabs>
        <w:spacing w:before="0" w:beforeAutospacing="0" w:after="0" w:afterAutospacing="0"/>
        <w:ind w:left="0" w:firstLine="0"/>
        <w:jc w:val="both"/>
        <w:rPr>
          <w:rFonts w:ascii="Times New Roman" w:hAnsi="Times New Roman"/>
          <w:sz w:val="22"/>
          <w:szCs w:val="22"/>
        </w:rPr>
      </w:pPr>
    </w:p>
    <w:tbl>
      <w:tblPr>
        <w:tblStyle w:val="9"/>
        <w:tblW w:w="9073" w:type="dxa"/>
        <w:tblInd w:w="42" w:type="dxa"/>
        <w:tblLayout w:type="fixed"/>
        <w:tblCellMar>
          <w:top w:w="55" w:type="dxa"/>
          <w:left w:w="55" w:type="dxa"/>
          <w:bottom w:w="55" w:type="dxa"/>
          <w:right w:w="55" w:type="dxa"/>
        </w:tblCellMar>
      </w:tblPr>
      <w:tblGrid>
        <w:gridCol w:w="2160"/>
        <w:gridCol w:w="2655"/>
        <w:gridCol w:w="4258"/>
      </w:tblGrid>
      <w:tr>
        <w:tblPrEx>
          <w:tblCellMar>
            <w:top w:w="55" w:type="dxa"/>
            <w:left w:w="55" w:type="dxa"/>
            <w:bottom w:w="55" w:type="dxa"/>
            <w:right w:w="55" w:type="dxa"/>
          </w:tblCellMar>
        </w:tblPrEx>
        <w:tc>
          <w:tcPr>
            <w:tcW w:w="2160" w:type="dxa"/>
            <w:tcBorders>
              <w:top w:val="single" w:color="000000" w:sz="2" w:space="0"/>
              <w:left w:val="single" w:color="000000" w:sz="2" w:space="0"/>
              <w:bottom w:val="single" w:color="000000" w:sz="2" w:space="0"/>
            </w:tcBorders>
          </w:tcPr>
          <w:p>
            <w:pPr>
              <w:pStyle w:val="171"/>
              <w:widowControl/>
              <w:suppressAutoHyphens/>
              <w:spacing w:before="0" w:after="200" w:line="240" w:lineRule="auto"/>
              <w:jc w:val="left"/>
              <w:rPr>
                <w:rFonts w:ascii="Times New Roman" w:hAnsi="Times New Roman" w:eastAsia="SimSun" w:cs="Times New Roman"/>
                <w:kern w:val="0"/>
                <w:sz w:val="22"/>
                <w:szCs w:val="22"/>
                <w:lang w:val="pt-BR" w:eastAsia="zh-CN" w:bidi="hi-IN"/>
              </w:rPr>
            </w:pPr>
            <w:r>
              <w:rPr>
                <w:rFonts w:ascii="Times New Roman" w:hAnsi="Times New Roman" w:eastAsia="Calibri" w:cs="Times New Roman"/>
                <w:b/>
                <w:bCs/>
                <w:kern w:val="0"/>
                <w:sz w:val="22"/>
                <w:szCs w:val="22"/>
                <w:shd w:val="clear" w:fill="auto"/>
                <w:lang w:val="pt-BR" w:eastAsia="zh-CN" w:bidi="hi-IN"/>
              </w:rPr>
              <w:t>Órgão</w:t>
            </w:r>
          </w:p>
        </w:tc>
        <w:tc>
          <w:tcPr>
            <w:tcW w:w="2655" w:type="dxa"/>
            <w:tcBorders>
              <w:top w:val="single" w:color="000000" w:sz="2" w:space="0"/>
              <w:left w:val="single" w:color="000000" w:sz="2" w:space="0"/>
              <w:bottom w:val="single" w:color="000000" w:sz="2" w:space="0"/>
            </w:tcBorders>
          </w:tcPr>
          <w:p>
            <w:pPr>
              <w:pStyle w:val="171"/>
              <w:widowControl/>
              <w:suppressAutoHyphens/>
              <w:spacing w:before="0" w:after="200" w:line="240" w:lineRule="auto"/>
              <w:jc w:val="left"/>
              <w:rPr>
                <w:rFonts w:ascii="Times New Roman" w:hAnsi="Times New Roman" w:eastAsia="SimSun" w:cs="Times New Roman"/>
                <w:kern w:val="0"/>
                <w:sz w:val="22"/>
                <w:szCs w:val="22"/>
                <w:lang w:val="pt-BR" w:eastAsia="zh-CN" w:bidi="hi-IN"/>
              </w:rPr>
            </w:pPr>
            <w:r>
              <w:rPr>
                <w:rFonts w:ascii="Times New Roman" w:hAnsi="Times New Roman" w:eastAsia="Calibri" w:cs="Times New Roman"/>
                <w:kern w:val="0"/>
                <w:sz w:val="22"/>
                <w:szCs w:val="22"/>
                <w:shd w:val="clear" w:fill="auto"/>
                <w:lang w:val="pt-BR" w:eastAsia="zh-CN" w:bidi="hi-IN"/>
              </w:rPr>
              <w:t>01</w:t>
            </w:r>
          </w:p>
        </w:tc>
        <w:tc>
          <w:tcPr>
            <w:tcW w:w="4258" w:type="dxa"/>
            <w:tcBorders>
              <w:top w:val="single" w:color="000000" w:sz="2" w:space="0"/>
              <w:left w:val="single" w:color="000000" w:sz="2" w:space="0"/>
              <w:bottom w:val="single" w:color="000000" w:sz="2" w:space="0"/>
              <w:right w:val="single" w:color="000000" w:sz="2" w:space="0"/>
            </w:tcBorders>
          </w:tcPr>
          <w:p>
            <w:pPr>
              <w:pStyle w:val="171"/>
              <w:widowControl/>
              <w:suppressAutoHyphens/>
              <w:spacing w:before="0" w:after="200" w:line="240" w:lineRule="auto"/>
              <w:jc w:val="left"/>
              <w:rPr>
                <w:rFonts w:ascii="Times New Roman" w:hAnsi="Times New Roman" w:eastAsia="SimSun" w:cs="Times New Roman"/>
                <w:kern w:val="0"/>
                <w:sz w:val="22"/>
                <w:szCs w:val="22"/>
                <w:lang w:val="pt-BR" w:eastAsia="zh-CN" w:bidi="hi-IN"/>
              </w:rPr>
            </w:pPr>
            <w:r>
              <w:rPr>
                <w:rFonts w:ascii="Times New Roman" w:hAnsi="Times New Roman" w:eastAsia="Calibri" w:cs="Times New Roman"/>
                <w:kern w:val="0"/>
                <w:sz w:val="22"/>
                <w:szCs w:val="22"/>
                <w:shd w:val="clear" w:fill="auto"/>
                <w:lang w:val="pt-BR" w:eastAsia="zh-CN" w:bidi="hi-IN"/>
              </w:rPr>
              <w:t>CÂMARA MUNICIPAL</w:t>
            </w:r>
          </w:p>
        </w:tc>
      </w:tr>
      <w:tr>
        <w:tblPrEx>
          <w:tblCellMar>
            <w:top w:w="55" w:type="dxa"/>
            <w:left w:w="55" w:type="dxa"/>
            <w:bottom w:w="55" w:type="dxa"/>
            <w:right w:w="55" w:type="dxa"/>
          </w:tblCellMar>
        </w:tblPrEx>
        <w:tc>
          <w:tcPr>
            <w:tcW w:w="2160" w:type="dxa"/>
            <w:tcBorders>
              <w:left w:val="single" w:color="000000" w:sz="2" w:space="0"/>
              <w:bottom w:val="single" w:color="000000" w:sz="2" w:space="0"/>
            </w:tcBorders>
          </w:tcPr>
          <w:p>
            <w:pPr>
              <w:pStyle w:val="171"/>
              <w:widowControl/>
              <w:suppressAutoHyphens/>
              <w:spacing w:before="0" w:after="200" w:line="240" w:lineRule="auto"/>
              <w:jc w:val="left"/>
              <w:rPr>
                <w:rFonts w:ascii="Times New Roman" w:hAnsi="Times New Roman" w:eastAsia="SimSun" w:cs="Times New Roman"/>
                <w:kern w:val="0"/>
                <w:sz w:val="22"/>
                <w:szCs w:val="22"/>
                <w:lang w:val="pt-BR" w:eastAsia="zh-CN" w:bidi="hi-IN"/>
              </w:rPr>
            </w:pPr>
            <w:r>
              <w:rPr>
                <w:rFonts w:ascii="Times New Roman" w:hAnsi="Times New Roman" w:eastAsia="Calibri" w:cs="Times New Roman"/>
                <w:b/>
                <w:bCs/>
                <w:kern w:val="0"/>
                <w:sz w:val="22"/>
                <w:szCs w:val="22"/>
                <w:shd w:val="clear" w:fill="auto"/>
                <w:lang w:val="pt-BR" w:eastAsia="zh-CN" w:bidi="hi-IN"/>
              </w:rPr>
              <w:t>Unid Orçamentária</w:t>
            </w:r>
          </w:p>
        </w:tc>
        <w:tc>
          <w:tcPr>
            <w:tcW w:w="2655" w:type="dxa"/>
            <w:tcBorders>
              <w:left w:val="single" w:color="000000" w:sz="2" w:space="0"/>
              <w:bottom w:val="single" w:color="000000" w:sz="2" w:space="0"/>
            </w:tcBorders>
          </w:tcPr>
          <w:p>
            <w:pPr>
              <w:pStyle w:val="171"/>
              <w:widowControl/>
              <w:suppressAutoHyphens/>
              <w:spacing w:before="0" w:after="200" w:line="240" w:lineRule="auto"/>
              <w:jc w:val="left"/>
              <w:rPr>
                <w:rFonts w:ascii="Times New Roman" w:hAnsi="Times New Roman" w:eastAsia="SimSun" w:cs="Times New Roman"/>
                <w:kern w:val="0"/>
                <w:sz w:val="22"/>
                <w:szCs w:val="22"/>
                <w:lang w:val="pt-BR" w:eastAsia="zh-CN" w:bidi="hi-IN"/>
              </w:rPr>
            </w:pPr>
            <w:r>
              <w:rPr>
                <w:rFonts w:ascii="Times New Roman" w:hAnsi="Times New Roman" w:eastAsia="Calibri" w:cs="Times New Roman"/>
                <w:kern w:val="0"/>
                <w:sz w:val="22"/>
                <w:szCs w:val="22"/>
                <w:shd w:val="clear" w:fill="auto"/>
                <w:lang w:val="pt-BR" w:eastAsia="zh-CN" w:bidi="hi-IN"/>
              </w:rPr>
              <w:t>01.00.1</w:t>
            </w:r>
          </w:p>
        </w:tc>
        <w:tc>
          <w:tcPr>
            <w:tcW w:w="4258" w:type="dxa"/>
            <w:tcBorders>
              <w:left w:val="single" w:color="000000" w:sz="2" w:space="0"/>
              <w:bottom w:val="single" w:color="000000" w:sz="2" w:space="0"/>
              <w:right w:val="single" w:color="000000" w:sz="2" w:space="0"/>
            </w:tcBorders>
          </w:tcPr>
          <w:p>
            <w:pPr>
              <w:pStyle w:val="171"/>
              <w:widowControl/>
              <w:suppressAutoHyphens/>
              <w:spacing w:before="0" w:after="200" w:line="240" w:lineRule="auto"/>
              <w:jc w:val="left"/>
              <w:rPr>
                <w:rFonts w:ascii="Times New Roman" w:hAnsi="Times New Roman" w:eastAsia="SimSun" w:cs="Times New Roman"/>
                <w:kern w:val="0"/>
                <w:sz w:val="22"/>
                <w:szCs w:val="22"/>
                <w:lang w:val="pt-BR" w:eastAsia="zh-CN" w:bidi="hi-IN"/>
              </w:rPr>
            </w:pPr>
            <w:r>
              <w:rPr>
                <w:rFonts w:ascii="Times New Roman" w:hAnsi="Times New Roman" w:eastAsia="Calibri" w:cs="Times New Roman"/>
                <w:kern w:val="0"/>
                <w:sz w:val="22"/>
                <w:szCs w:val="22"/>
                <w:shd w:val="clear" w:fill="auto"/>
                <w:lang w:val="pt-BR" w:eastAsia="zh-CN" w:bidi="hi-IN"/>
              </w:rPr>
              <w:t>DEPARTAMENTO ADMINISTRATIVO</w:t>
            </w:r>
          </w:p>
        </w:tc>
      </w:tr>
      <w:tr>
        <w:tblPrEx>
          <w:tblCellMar>
            <w:top w:w="55" w:type="dxa"/>
            <w:left w:w="55" w:type="dxa"/>
            <w:bottom w:w="55" w:type="dxa"/>
            <w:right w:w="55" w:type="dxa"/>
          </w:tblCellMar>
        </w:tblPrEx>
        <w:tc>
          <w:tcPr>
            <w:tcW w:w="2160" w:type="dxa"/>
            <w:tcBorders>
              <w:left w:val="single" w:color="000000" w:sz="2" w:space="0"/>
              <w:bottom w:val="single" w:color="000000" w:sz="2" w:space="0"/>
            </w:tcBorders>
          </w:tcPr>
          <w:p>
            <w:pPr>
              <w:pStyle w:val="171"/>
              <w:widowControl/>
              <w:suppressAutoHyphens/>
              <w:spacing w:before="0" w:after="200" w:line="240" w:lineRule="auto"/>
              <w:jc w:val="left"/>
              <w:rPr>
                <w:rFonts w:ascii="Times New Roman" w:hAnsi="Times New Roman" w:eastAsia="SimSun" w:cs="Times New Roman"/>
                <w:kern w:val="0"/>
                <w:sz w:val="22"/>
                <w:szCs w:val="22"/>
                <w:lang w:val="pt-BR" w:eastAsia="zh-CN" w:bidi="hi-IN"/>
              </w:rPr>
            </w:pPr>
            <w:r>
              <w:rPr>
                <w:rFonts w:ascii="Times New Roman" w:hAnsi="Times New Roman" w:eastAsia="Calibri" w:cs="Times New Roman"/>
                <w:b/>
                <w:bCs/>
                <w:kern w:val="0"/>
                <w:sz w:val="22"/>
                <w:szCs w:val="22"/>
                <w:shd w:val="clear" w:fill="auto"/>
                <w:lang w:val="pt-BR" w:eastAsia="zh-CN" w:bidi="hi-IN"/>
              </w:rPr>
              <w:t>Unidade Executora</w:t>
            </w:r>
          </w:p>
        </w:tc>
        <w:tc>
          <w:tcPr>
            <w:tcW w:w="2655" w:type="dxa"/>
            <w:tcBorders>
              <w:left w:val="single" w:color="000000" w:sz="2" w:space="0"/>
              <w:bottom w:val="single" w:color="000000" w:sz="2" w:space="0"/>
            </w:tcBorders>
          </w:tcPr>
          <w:p>
            <w:pPr>
              <w:pStyle w:val="171"/>
              <w:widowControl/>
              <w:suppressAutoHyphens/>
              <w:spacing w:before="0" w:after="200" w:line="240" w:lineRule="auto"/>
              <w:jc w:val="left"/>
              <w:rPr>
                <w:rFonts w:ascii="Times New Roman" w:hAnsi="Times New Roman" w:eastAsia="SimSun" w:cs="Times New Roman"/>
                <w:kern w:val="0"/>
                <w:sz w:val="22"/>
                <w:szCs w:val="22"/>
                <w:lang w:val="pt-BR" w:eastAsia="zh-CN" w:bidi="hi-IN"/>
              </w:rPr>
            </w:pPr>
            <w:r>
              <w:rPr>
                <w:rFonts w:ascii="Times New Roman" w:hAnsi="Times New Roman" w:eastAsia="Calibri" w:cs="Times New Roman"/>
                <w:kern w:val="0"/>
                <w:sz w:val="22"/>
                <w:szCs w:val="22"/>
                <w:shd w:val="clear" w:fill="auto"/>
                <w:lang w:val="pt-BR" w:eastAsia="zh-CN" w:bidi="hi-IN"/>
              </w:rPr>
              <w:t>01.001</w:t>
            </w:r>
          </w:p>
        </w:tc>
        <w:tc>
          <w:tcPr>
            <w:tcW w:w="4258" w:type="dxa"/>
            <w:tcBorders>
              <w:left w:val="single" w:color="000000" w:sz="2" w:space="0"/>
              <w:bottom w:val="single" w:color="000000" w:sz="2" w:space="0"/>
              <w:right w:val="single" w:color="000000" w:sz="2" w:space="0"/>
            </w:tcBorders>
          </w:tcPr>
          <w:p>
            <w:pPr>
              <w:pStyle w:val="171"/>
              <w:widowControl/>
              <w:suppressAutoHyphens/>
              <w:spacing w:before="0" w:after="200" w:line="240" w:lineRule="auto"/>
              <w:jc w:val="left"/>
              <w:rPr>
                <w:rFonts w:ascii="Times New Roman" w:hAnsi="Times New Roman" w:eastAsia="SimSun" w:cs="Times New Roman"/>
                <w:kern w:val="0"/>
                <w:sz w:val="22"/>
                <w:szCs w:val="22"/>
                <w:lang w:val="pt-BR" w:eastAsia="zh-CN" w:bidi="hi-IN"/>
              </w:rPr>
            </w:pPr>
            <w:r>
              <w:rPr>
                <w:rFonts w:ascii="Times New Roman" w:hAnsi="Times New Roman" w:eastAsia="Calibri" w:cs="Times New Roman"/>
                <w:kern w:val="0"/>
                <w:sz w:val="22"/>
                <w:szCs w:val="22"/>
                <w:shd w:val="clear" w:fill="auto"/>
                <w:lang w:val="pt-BR" w:eastAsia="zh-CN" w:bidi="hi-IN"/>
              </w:rPr>
              <w:t>DEPARTAMENTO ADMINISTRATIVO</w:t>
            </w:r>
          </w:p>
        </w:tc>
      </w:tr>
      <w:tr>
        <w:tblPrEx>
          <w:tblCellMar>
            <w:top w:w="55" w:type="dxa"/>
            <w:left w:w="55" w:type="dxa"/>
            <w:bottom w:w="55" w:type="dxa"/>
            <w:right w:w="55" w:type="dxa"/>
          </w:tblCellMar>
        </w:tblPrEx>
        <w:tc>
          <w:tcPr>
            <w:tcW w:w="2160" w:type="dxa"/>
            <w:tcBorders>
              <w:left w:val="single" w:color="000000" w:sz="2" w:space="0"/>
              <w:bottom w:val="single" w:color="000000" w:sz="2" w:space="0"/>
            </w:tcBorders>
          </w:tcPr>
          <w:p>
            <w:pPr>
              <w:pStyle w:val="171"/>
              <w:widowControl/>
              <w:suppressAutoHyphens/>
              <w:spacing w:before="0" w:after="200" w:line="240" w:lineRule="auto"/>
              <w:jc w:val="left"/>
              <w:rPr>
                <w:rFonts w:ascii="Times New Roman" w:hAnsi="Times New Roman" w:eastAsia="SimSun" w:cs="Times New Roman"/>
                <w:kern w:val="0"/>
                <w:sz w:val="22"/>
                <w:szCs w:val="22"/>
                <w:lang w:val="pt-BR" w:eastAsia="zh-CN" w:bidi="hi-IN"/>
              </w:rPr>
            </w:pPr>
            <w:r>
              <w:rPr>
                <w:rFonts w:ascii="Times New Roman" w:hAnsi="Times New Roman" w:eastAsia="Calibri" w:cs="Times New Roman"/>
                <w:b/>
                <w:bCs/>
                <w:kern w:val="0"/>
                <w:sz w:val="22"/>
                <w:szCs w:val="22"/>
                <w:shd w:val="clear" w:fill="auto"/>
                <w:lang w:val="pt-BR" w:eastAsia="zh-CN" w:bidi="hi-IN"/>
              </w:rPr>
              <w:t>Função programática</w:t>
            </w:r>
          </w:p>
        </w:tc>
        <w:tc>
          <w:tcPr>
            <w:tcW w:w="2655" w:type="dxa"/>
            <w:tcBorders>
              <w:left w:val="single" w:color="000000" w:sz="2" w:space="0"/>
              <w:bottom w:val="single" w:color="000000" w:sz="2" w:space="0"/>
            </w:tcBorders>
          </w:tcPr>
          <w:p>
            <w:pPr>
              <w:pStyle w:val="171"/>
              <w:widowControl/>
              <w:suppressAutoHyphens/>
              <w:spacing w:before="0" w:after="200" w:line="240" w:lineRule="auto"/>
              <w:jc w:val="left"/>
              <w:rPr>
                <w:rFonts w:ascii="Times New Roman" w:hAnsi="Times New Roman" w:eastAsia="SimSun" w:cs="Times New Roman"/>
                <w:kern w:val="0"/>
                <w:sz w:val="22"/>
                <w:szCs w:val="22"/>
                <w:lang w:val="pt-BR" w:eastAsia="zh-CN" w:bidi="hi-IN"/>
              </w:rPr>
            </w:pPr>
            <w:r>
              <w:rPr>
                <w:rFonts w:ascii="Times New Roman" w:hAnsi="Times New Roman" w:eastAsia="Calibri" w:cs="Times New Roman"/>
                <w:kern w:val="0"/>
                <w:sz w:val="22"/>
                <w:szCs w:val="22"/>
                <w:shd w:val="clear" w:fill="auto"/>
                <w:lang w:val="pt-BR" w:eastAsia="zh-CN" w:bidi="hi-IN"/>
              </w:rPr>
              <w:t>01.031.0001-2.001</w:t>
            </w:r>
          </w:p>
        </w:tc>
        <w:tc>
          <w:tcPr>
            <w:tcW w:w="4258" w:type="dxa"/>
            <w:tcBorders>
              <w:left w:val="single" w:color="000000" w:sz="2" w:space="0"/>
              <w:bottom w:val="single" w:color="000000" w:sz="2" w:space="0"/>
              <w:right w:val="single" w:color="000000" w:sz="2" w:space="0"/>
            </w:tcBorders>
          </w:tcPr>
          <w:p>
            <w:pPr>
              <w:pStyle w:val="171"/>
              <w:widowControl/>
              <w:suppressAutoHyphens/>
              <w:spacing w:before="0" w:after="200" w:line="240" w:lineRule="auto"/>
              <w:jc w:val="left"/>
              <w:rPr>
                <w:rFonts w:ascii="Times New Roman" w:hAnsi="Times New Roman" w:eastAsia="SimSun" w:cs="Times New Roman"/>
                <w:kern w:val="0"/>
                <w:sz w:val="22"/>
                <w:szCs w:val="22"/>
                <w:lang w:val="pt-BR" w:eastAsia="zh-CN" w:bidi="hi-IN"/>
              </w:rPr>
            </w:pPr>
            <w:r>
              <w:rPr>
                <w:rFonts w:ascii="Times New Roman" w:hAnsi="Times New Roman" w:eastAsia="Calibri" w:cs="Times New Roman"/>
                <w:kern w:val="0"/>
                <w:sz w:val="22"/>
                <w:szCs w:val="22"/>
                <w:shd w:val="clear" w:fill="auto"/>
                <w:lang w:val="pt-BR" w:eastAsia="zh-CN" w:bidi="hi-IN"/>
              </w:rPr>
              <w:t>MANUTENÇÃO DEPARTAMENTO ADMINISTRATIVO DA CÂMARA MUNICIPAL</w:t>
            </w:r>
          </w:p>
        </w:tc>
      </w:tr>
      <w:tr>
        <w:tblPrEx>
          <w:tblCellMar>
            <w:top w:w="55" w:type="dxa"/>
            <w:left w:w="55" w:type="dxa"/>
            <w:bottom w:w="55" w:type="dxa"/>
            <w:right w:w="55" w:type="dxa"/>
          </w:tblCellMar>
        </w:tblPrEx>
        <w:tc>
          <w:tcPr>
            <w:tcW w:w="2160" w:type="dxa"/>
            <w:tcBorders>
              <w:left w:val="single" w:color="000000" w:sz="2" w:space="0"/>
              <w:bottom w:val="single" w:color="000000" w:sz="2" w:space="0"/>
            </w:tcBorders>
          </w:tcPr>
          <w:p>
            <w:pPr>
              <w:pStyle w:val="171"/>
              <w:widowControl/>
              <w:suppressAutoHyphens/>
              <w:spacing w:before="0" w:after="200" w:line="240" w:lineRule="auto"/>
              <w:jc w:val="left"/>
              <w:rPr>
                <w:rFonts w:ascii="Times New Roman" w:hAnsi="Times New Roman" w:eastAsia="SimSun" w:cs="Times New Roman"/>
                <w:kern w:val="0"/>
                <w:sz w:val="22"/>
                <w:szCs w:val="22"/>
                <w:lang w:val="pt-BR" w:eastAsia="zh-CN" w:bidi="hi-IN"/>
              </w:rPr>
            </w:pPr>
            <w:r>
              <w:rPr>
                <w:rFonts w:ascii="Times New Roman" w:hAnsi="Times New Roman" w:eastAsia="Calibri" w:cs="Times New Roman"/>
                <w:b/>
                <w:bCs/>
                <w:kern w:val="0"/>
                <w:sz w:val="22"/>
                <w:szCs w:val="22"/>
                <w:shd w:val="clear" w:fill="auto"/>
                <w:lang w:val="pt-BR" w:eastAsia="zh-CN" w:bidi="hi-IN"/>
              </w:rPr>
              <w:t>Elemento</w:t>
            </w:r>
          </w:p>
        </w:tc>
        <w:tc>
          <w:tcPr>
            <w:tcW w:w="2655" w:type="dxa"/>
            <w:tcBorders>
              <w:left w:val="single" w:color="000000" w:sz="2" w:space="0"/>
              <w:bottom w:val="single" w:color="000000" w:sz="2" w:space="0"/>
            </w:tcBorders>
          </w:tcPr>
          <w:p>
            <w:pPr>
              <w:pStyle w:val="171"/>
              <w:widowControl/>
              <w:suppressAutoHyphens/>
              <w:spacing w:before="0" w:after="200" w:line="240" w:lineRule="auto"/>
              <w:jc w:val="left"/>
              <w:rPr>
                <w:rFonts w:ascii="Times New Roman" w:hAnsi="Times New Roman" w:eastAsia="SimSun" w:cs="Times New Roman"/>
                <w:kern w:val="0"/>
                <w:sz w:val="22"/>
                <w:szCs w:val="22"/>
                <w:lang w:val="pt-BR" w:eastAsia="zh-CN" w:bidi="hi-IN"/>
              </w:rPr>
            </w:pPr>
            <w:r>
              <w:rPr>
                <w:rFonts w:ascii="Times New Roman" w:hAnsi="Times New Roman" w:eastAsia="Calibri" w:cs="Times New Roman"/>
                <w:kern w:val="0"/>
                <w:sz w:val="22"/>
                <w:szCs w:val="22"/>
                <w:shd w:val="clear" w:fill="auto"/>
                <w:lang w:val="pt-BR" w:eastAsia="zh-CN" w:bidi="hi-IN"/>
              </w:rPr>
              <w:t>3.3.90.39.00</w:t>
            </w:r>
          </w:p>
        </w:tc>
        <w:tc>
          <w:tcPr>
            <w:tcW w:w="4258" w:type="dxa"/>
            <w:tcBorders>
              <w:left w:val="single" w:color="000000" w:sz="2" w:space="0"/>
              <w:bottom w:val="single" w:color="000000" w:sz="2" w:space="0"/>
              <w:right w:val="single" w:color="000000" w:sz="2" w:space="0"/>
            </w:tcBorders>
          </w:tcPr>
          <w:p>
            <w:pPr>
              <w:pStyle w:val="171"/>
              <w:widowControl/>
              <w:suppressAutoHyphens/>
              <w:spacing w:before="0" w:after="200" w:line="240" w:lineRule="auto"/>
              <w:jc w:val="left"/>
              <w:rPr>
                <w:rFonts w:ascii="Times New Roman" w:hAnsi="Times New Roman" w:eastAsia="SimSun" w:cs="Times New Roman"/>
                <w:kern w:val="0"/>
                <w:sz w:val="22"/>
                <w:szCs w:val="22"/>
                <w:lang w:val="pt-BR" w:eastAsia="zh-CN" w:bidi="hi-IN"/>
              </w:rPr>
            </w:pPr>
            <w:r>
              <w:rPr>
                <w:rFonts w:ascii="Times New Roman" w:hAnsi="Times New Roman" w:eastAsia="Calibri" w:cs="Times New Roman"/>
                <w:kern w:val="0"/>
                <w:sz w:val="22"/>
                <w:szCs w:val="22"/>
                <w:shd w:val="clear" w:fill="auto"/>
                <w:lang w:val="pt-BR" w:eastAsia="zh-CN" w:bidi="hi-IN"/>
              </w:rPr>
              <w:t>SERVIÇOS DE TERCEIROS – PESSOA JURÍDICA</w:t>
            </w:r>
          </w:p>
        </w:tc>
      </w:tr>
    </w:tbl>
    <w:p>
      <w:pPr>
        <w:pStyle w:val="28"/>
        <w:tabs>
          <w:tab w:val="left" w:pos="993"/>
        </w:tabs>
        <w:spacing w:before="0" w:beforeAutospacing="0" w:after="0" w:afterAutospacing="0"/>
        <w:ind w:left="0" w:firstLine="567"/>
        <w:jc w:val="both"/>
        <w:rPr>
          <w:rFonts w:ascii="Times New Roman" w:hAnsi="Times New Roman" w:cs="Arial"/>
          <w:b/>
          <w:sz w:val="22"/>
          <w:szCs w:val="22"/>
        </w:rPr>
      </w:pPr>
    </w:p>
    <w:p>
      <w:pPr>
        <w:pStyle w:val="28"/>
        <w:numPr>
          <w:ilvl w:val="0"/>
          <w:numId w:val="17"/>
        </w:numPr>
        <w:pBdr>
          <w:bottom w:val="single" w:color="000000" w:themeColor="dark1" w:sz="4" w:space="1"/>
        </w:pBdr>
        <w:shd w:val="clear" w:color="auto" w:fill="BEBEBE" w:themeFill="background1" w:themeFillShade="BF"/>
        <w:spacing w:before="0" w:beforeAutospacing="0" w:after="0" w:afterAutospacing="0"/>
        <w:jc w:val="both"/>
      </w:pPr>
      <w:r>
        <w:rPr>
          <w:rStyle w:val="11"/>
          <w:color w:val="000000"/>
          <w:sz w:val="22"/>
          <w:szCs w:val="22"/>
        </w:rPr>
        <w:t xml:space="preserve">PREÇO </w:t>
      </w:r>
      <w:r>
        <w:rPr>
          <w:sz w:val="22"/>
          <w:szCs w:val="22"/>
        </w:rPr>
        <w:t>(</w:t>
      </w:r>
      <w:r>
        <w:fldChar w:fldCharType="begin"/>
      </w:r>
      <w:r>
        <w:rPr>
          <w:rStyle w:val="54"/>
          <w:sz w:val="22"/>
          <w:szCs w:val="22"/>
        </w:rPr>
        <w:instrText xml:space="preserve"> HYPERLINK "http://www.planalto.gov.br/ccivil_03/_ato2019-2022/2021/lei/L14133.htm" \l "art92"</w:instrText>
      </w:r>
      <w:r>
        <w:rPr>
          <w:rStyle w:val="54"/>
          <w:sz w:val="22"/>
          <w:szCs w:val="22"/>
        </w:rPr>
        <w:fldChar w:fldCharType="separate"/>
      </w:r>
      <w:r>
        <w:rPr>
          <w:rStyle w:val="54"/>
          <w:sz w:val="22"/>
          <w:szCs w:val="22"/>
        </w:rPr>
        <w:t>art. 92, V</w:t>
      </w:r>
      <w:r>
        <w:rPr>
          <w:rStyle w:val="54"/>
          <w:sz w:val="22"/>
          <w:szCs w:val="22"/>
        </w:rPr>
        <w:fldChar w:fldCharType="end"/>
      </w:r>
      <w:r>
        <w:rPr>
          <w:rStyle w:val="54"/>
          <w:sz w:val="22"/>
          <w:szCs w:val="22"/>
        </w:rPr>
        <w:t>, da Lei Federal nº 14.133, de 2021</w:t>
      </w:r>
      <w:r>
        <w:rPr>
          <w:sz w:val="22"/>
          <w:szCs w:val="22"/>
        </w:rPr>
        <w:t>)</w:t>
      </w:r>
    </w:p>
    <w:p>
      <w:pPr>
        <w:pStyle w:val="28"/>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O valor total da contratação é de </w:t>
      </w:r>
      <w:r>
        <w:rPr>
          <w:rStyle w:val="45"/>
          <w:rFonts w:ascii="Times New Roman" w:hAnsi="Times New Roman" w:cs="Times New Roman"/>
          <w:b/>
          <w:bCs/>
          <w:color w:val="000000" w:themeColor="text1"/>
          <w:kern w:val="0"/>
          <w:sz w:val="22"/>
          <w:szCs w:val="22"/>
          <w:shd w:val="clear" w:fill="auto"/>
          <w:lang w:val="pt-BR" w:eastAsia="en-US" w:bidi="ar-SA"/>
        </w:rPr>
        <w:t xml:space="preserve">R$ </w:t>
      </w:r>
      <w:r>
        <w:rPr>
          <w:rStyle w:val="45"/>
          <w:rFonts w:hint="default" w:cs="Times New Roman"/>
          <w:b/>
          <w:bCs/>
          <w:color w:val="000000" w:themeColor="text1"/>
          <w:kern w:val="0"/>
          <w:sz w:val="22"/>
          <w:szCs w:val="22"/>
          <w:shd w:val="clear" w:fill="auto"/>
          <w:lang w:val="pt-BR" w:eastAsia="en-US" w:bidi="ar-SA"/>
        </w:rPr>
        <w:t>XXXXXXXXXXXX</w:t>
      </w:r>
      <w:r>
        <w:rPr>
          <w:rStyle w:val="45"/>
          <w:rFonts w:ascii="Times New Roman" w:hAnsi="Times New Roman" w:cs="Times New Roman"/>
          <w:b/>
          <w:bCs/>
          <w:color w:val="000000" w:themeColor="text1"/>
          <w:kern w:val="0"/>
          <w:sz w:val="22"/>
          <w:szCs w:val="22"/>
          <w:shd w:val="clear" w:fill="auto"/>
          <w:lang w:val="pt-BR" w:eastAsia="en-US" w:bidi="ar-SA"/>
        </w:rPr>
        <w:t xml:space="preserve"> (</w:t>
      </w:r>
      <w:r>
        <w:rPr>
          <w:rStyle w:val="45"/>
          <w:rFonts w:hint="default" w:cs="Times New Roman"/>
          <w:b/>
          <w:bCs/>
          <w:color w:val="000000" w:themeColor="text1"/>
          <w:kern w:val="0"/>
          <w:sz w:val="22"/>
          <w:szCs w:val="22"/>
          <w:shd w:val="clear" w:fill="auto"/>
          <w:lang w:val="pt-BR" w:eastAsia="en-US" w:bidi="ar-SA"/>
        </w:rPr>
        <w:t>XXXXXXXXXXXXXXXXXX</w:t>
      </w:r>
      <w:r>
        <w:rPr>
          <w:rStyle w:val="45"/>
          <w:rFonts w:ascii="Times New Roman" w:hAnsi="Times New Roman" w:cs="Times New Roman"/>
          <w:b/>
          <w:bCs/>
          <w:color w:val="000000" w:themeColor="text1"/>
          <w:kern w:val="0"/>
          <w:sz w:val="22"/>
          <w:szCs w:val="22"/>
          <w:shd w:val="clear" w:fill="auto"/>
          <w:lang w:val="pt-BR" w:eastAsia="en-US" w:bidi="ar-SA"/>
        </w:rPr>
        <w:t>)</w:t>
      </w:r>
      <w:r>
        <w:rPr>
          <w:rFonts w:eastAsiaTheme="minorHAnsi" w:cstheme="minorBidi"/>
          <w:sz w:val="22"/>
          <w:szCs w:val="22"/>
          <w:shd w:val="clear" w:fill="auto"/>
        </w:rPr>
        <w:t>,</w:t>
      </w:r>
      <w:r>
        <w:rPr>
          <w:sz w:val="22"/>
          <w:szCs w:val="22"/>
        </w:rPr>
        <w:t xml:space="preserve"> referente à emissão da Nota de Empenho nº XXX a partir da ARP nº 002/2024, podendo ser emitidos empenhos adicionais a partir da referida ARP, desde que dentro de seus limites e vigência e, consequentemente, aumentando o valor da presente contratação.</w:t>
      </w:r>
    </w:p>
    <w:p>
      <w:pPr>
        <w:pStyle w:val="28"/>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No valor acima, e nos empenhos adicionais,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pPr>
        <w:pStyle w:val="28"/>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O pagamento poderá conter glosas em virtude dos resultados apurados no Instrumento de Medição de Resultados - IMR (Anexo I-C do Termo de Referência).</w:t>
      </w:r>
    </w:p>
    <w:p>
      <w:pPr>
        <w:pStyle w:val="28"/>
        <w:numPr>
          <w:ilvl w:val="0"/>
          <w:numId w:val="17"/>
        </w:numPr>
        <w:pBdr>
          <w:bottom w:val="single" w:color="000000" w:themeColor="dark1" w:sz="4" w:space="1"/>
        </w:pBdr>
        <w:shd w:val="clear" w:color="auto" w:fill="BEBEBE" w:themeFill="background1" w:themeFillShade="BF"/>
        <w:spacing w:before="0" w:beforeAutospacing="0" w:after="0" w:afterAutospacing="0"/>
        <w:jc w:val="both"/>
      </w:pPr>
      <w:r>
        <w:rPr>
          <w:rStyle w:val="11"/>
          <w:color w:val="000000"/>
          <w:sz w:val="22"/>
          <w:szCs w:val="22"/>
        </w:rPr>
        <w:t>CONDIÇÕES DE PAGAMENTO</w:t>
      </w:r>
      <w:r>
        <w:rPr>
          <w:sz w:val="22"/>
          <w:szCs w:val="22"/>
        </w:rPr>
        <w:t xml:space="preserve"> (</w:t>
      </w:r>
      <w:r>
        <w:fldChar w:fldCharType="begin"/>
      </w:r>
      <w:r>
        <w:rPr>
          <w:rStyle w:val="54"/>
          <w:sz w:val="22"/>
          <w:szCs w:val="22"/>
        </w:rPr>
        <w:instrText xml:space="preserve"> HYPERLINK "http://www.planalto.gov.br/ccivil_03/_ato2019-2022/2021/lei/L14133.htm" \l "art92"</w:instrText>
      </w:r>
      <w:r>
        <w:rPr>
          <w:rStyle w:val="54"/>
          <w:sz w:val="22"/>
          <w:szCs w:val="22"/>
        </w:rPr>
        <w:fldChar w:fldCharType="separate"/>
      </w:r>
      <w:r>
        <w:rPr>
          <w:rStyle w:val="54"/>
          <w:sz w:val="22"/>
          <w:szCs w:val="22"/>
        </w:rPr>
        <w:t>art. 92, V</w:t>
      </w:r>
      <w:r>
        <w:rPr>
          <w:rStyle w:val="54"/>
          <w:sz w:val="22"/>
          <w:szCs w:val="22"/>
        </w:rPr>
        <w:fldChar w:fldCharType="end"/>
      </w:r>
      <w:r>
        <w:rPr>
          <w:rStyle w:val="54"/>
          <w:sz w:val="22"/>
          <w:szCs w:val="22"/>
        </w:rPr>
        <w:t>, da Lei Federal nº 14.133, de 2021</w:t>
      </w:r>
      <w:r>
        <w:rPr>
          <w:sz w:val="22"/>
          <w:szCs w:val="22"/>
        </w:rPr>
        <w:t>)</w:t>
      </w:r>
    </w:p>
    <w:p>
      <w:pPr>
        <w:pStyle w:val="28"/>
        <w:numPr>
          <w:ilvl w:val="1"/>
          <w:numId w:val="17"/>
        </w:numPr>
        <w:tabs>
          <w:tab w:val="left" w:pos="993"/>
        </w:tabs>
        <w:spacing w:before="0" w:beforeAutospacing="0" w:after="0" w:afterAutospacing="0"/>
        <w:ind w:left="0" w:firstLine="567"/>
        <w:jc w:val="both"/>
      </w:pPr>
      <w:r>
        <w:rPr>
          <w:color w:val="000000"/>
          <w:sz w:val="22"/>
          <w:szCs w:val="22"/>
        </w:rPr>
        <w:t>Para que a Nota Fiscal seja encaminhada para liquidação e pagamento será feito o recebimento provisório pelo responsável por seu acompanhamento e fiscalização (</w:t>
      </w:r>
      <w:r>
        <w:fldChar w:fldCharType="begin"/>
      </w:r>
      <w:r>
        <w:rPr>
          <w:rStyle w:val="54"/>
          <w:sz w:val="22"/>
          <w:szCs w:val="22"/>
        </w:rPr>
        <w:instrText xml:space="preserve"> HYPERLINK "https://www.planalto.gov.br/ccivil_03/_ato2019-2022/2021/lei/l14133.htm" \l "art140"</w:instrText>
      </w:r>
      <w:r>
        <w:rPr>
          <w:rStyle w:val="54"/>
          <w:sz w:val="22"/>
          <w:szCs w:val="22"/>
        </w:rPr>
        <w:fldChar w:fldCharType="separate"/>
      </w:r>
      <w:r>
        <w:rPr>
          <w:rStyle w:val="54"/>
          <w:sz w:val="22"/>
          <w:szCs w:val="22"/>
        </w:rPr>
        <w:t>art. 140, I, “a”, da Lei Federal nº 14.133, de 2021</w:t>
      </w:r>
      <w:r>
        <w:rPr>
          <w:rStyle w:val="54"/>
          <w:sz w:val="22"/>
          <w:szCs w:val="22"/>
        </w:rPr>
        <w:fldChar w:fldCharType="end"/>
      </w:r>
      <w:r>
        <w:rPr>
          <w:color w:val="000000"/>
          <w:sz w:val="22"/>
          <w:szCs w:val="22"/>
        </w:rPr>
        <w:t>) e o recebimento definitivo por servidor ou comissão designada pela autoridade competente (</w:t>
      </w:r>
      <w:r>
        <w:fldChar w:fldCharType="begin"/>
      </w:r>
      <w:r>
        <w:rPr>
          <w:rStyle w:val="54"/>
          <w:sz w:val="22"/>
          <w:szCs w:val="22"/>
        </w:rPr>
        <w:instrText xml:space="preserve"> HYPERLINK "https://www.planalto.gov.br/ccivil_03/_ato2019-2022/2021/lei/l14133.htm" \l "art140"</w:instrText>
      </w:r>
      <w:r>
        <w:rPr>
          <w:rStyle w:val="54"/>
          <w:sz w:val="22"/>
          <w:szCs w:val="22"/>
        </w:rPr>
        <w:fldChar w:fldCharType="separate"/>
      </w:r>
      <w:r>
        <w:rPr>
          <w:rStyle w:val="54"/>
          <w:sz w:val="22"/>
          <w:szCs w:val="22"/>
        </w:rPr>
        <w:t>art. 140, I, “b”, da Lei Federal nº 14.133, de 2021</w:t>
      </w:r>
      <w:r>
        <w:rPr>
          <w:rStyle w:val="54"/>
          <w:sz w:val="22"/>
          <w:szCs w:val="22"/>
        </w:rPr>
        <w:fldChar w:fldCharType="end"/>
      </w:r>
      <w:r>
        <w:rPr>
          <w:color w:val="000000"/>
          <w:sz w:val="22"/>
          <w:szCs w:val="22"/>
        </w:rPr>
        <w:t>).</w:t>
      </w:r>
    </w:p>
    <w:p>
      <w:pPr>
        <w:pStyle w:val="28"/>
        <w:numPr>
          <w:ilvl w:val="0"/>
          <w:numId w:val="17"/>
        </w:numPr>
        <w:pBdr>
          <w:bottom w:val="single" w:color="000000" w:themeColor="dark1" w:sz="4" w:space="1"/>
        </w:pBdr>
        <w:shd w:val="clear" w:color="auto" w:fill="BEBEBE" w:themeFill="background1" w:themeFillShade="BF"/>
        <w:spacing w:before="0" w:beforeAutospacing="0" w:after="0" w:afterAutospacing="0"/>
        <w:jc w:val="both"/>
      </w:pPr>
      <w:r>
        <w:rPr>
          <w:rStyle w:val="11"/>
          <w:color w:val="000000"/>
          <w:sz w:val="22"/>
          <w:szCs w:val="22"/>
        </w:rPr>
        <w:t>LIQUIDAÇÃO E PAGAMENTO </w:t>
      </w:r>
      <w:r>
        <w:rPr>
          <w:rStyle w:val="11"/>
          <w:b w:val="0"/>
          <w:bCs w:val="0"/>
          <w:color w:val="000000"/>
          <w:sz w:val="22"/>
          <w:szCs w:val="22"/>
        </w:rPr>
        <w:t>(</w:t>
      </w:r>
      <w:r>
        <w:fldChar w:fldCharType="begin"/>
      </w:r>
      <w:r>
        <w:rPr>
          <w:rStyle w:val="54"/>
          <w:sz w:val="22"/>
          <w:szCs w:val="22"/>
        </w:rPr>
        <w:instrText xml:space="preserve"> HYPERLINK "https://www.planalto.gov.br/ccivil_03/_ato2019-2022/2021/lei/l14133.htm" \l "art143"</w:instrText>
      </w:r>
      <w:r>
        <w:rPr>
          <w:rStyle w:val="54"/>
          <w:sz w:val="22"/>
          <w:szCs w:val="22"/>
        </w:rPr>
        <w:fldChar w:fldCharType="separate"/>
      </w:r>
      <w:r>
        <w:rPr>
          <w:rStyle w:val="54"/>
          <w:sz w:val="22"/>
          <w:szCs w:val="22"/>
        </w:rPr>
        <w:t>art. 143 e 146 da Lei Federal nº 14.133, de 2021</w:t>
      </w:r>
      <w:r>
        <w:rPr>
          <w:rStyle w:val="54"/>
          <w:sz w:val="22"/>
          <w:szCs w:val="22"/>
        </w:rPr>
        <w:fldChar w:fldCharType="end"/>
      </w:r>
      <w:r>
        <w:rPr>
          <w:rStyle w:val="11"/>
          <w:b w:val="0"/>
          <w:bCs w:val="0"/>
          <w:color w:val="000000"/>
          <w:sz w:val="22"/>
          <w:szCs w:val="22"/>
        </w:rPr>
        <w:t xml:space="preserve"> e Resolução 50 de 2023.)</w:t>
      </w:r>
    </w:p>
    <w:p>
      <w:pPr>
        <w:pStyle w:val="28"/>
        <w:numPr>
          <w:ilvl w:val="1"/>
          <w:numId w:val="17"/>
        </w:numPr>
        <w:tabs>
          <w:tab w:val="left" w:pos="993"/>
        </w:tabs>
        <w:spacing w:before="0" w:beforeAutospacing="0" w:after="0" w:afterAutospacing="0"/>
        <w:ind w:left="0" w:firstLine="567"/>
        <w:jc w:val="both"/>
      </w:pPr>
      <w:r>
        <w:rPr>
          <w:color w:val="000000" w:themeColor="text1"/>
          <w:sz w:val="22"/>
          <w:szCs w:val="22"/>
        </w:rPr>
        <w:t xml:space="preserve">A </w:t>
      </w:r>
      <w:r>
        <w:rPr>
          <w:color w:val="000000"/>
          <w:sz w:val="22"/>
          <w:szCs w:val="22"/>
        </w:rPr>
        <w:t>Contratada</w:t>
      </w:r>
      <w:r>
        <w:rPr>
          <w:color w:val="000000" w:themeColor="text1"/>
          <w:sz w:val="22"/>
          <w:szCs w:val="22"/>
        </w:rPr>
        <w:t xml:space="preserve"> deverá entregar a Nota Fiscal após a execução do serviço, </w:t>
      </w:r>
      <w:r>
        <w:rPr>
          <w:color w:val="000000"/>
          <w:sz w:val="22"/>
          <w:szCs w:val="22"/>
        </w:rPr>
        <w:t>sob</w:t>
      </w:r>
      <w:r>
        <w:rPr>
          <w:color w:val="000000" w:themeColor="text1"/>
          <w:sz w:val="22"/>
          <w:szCs w:val="22"/>
        </w:rPr>
        <w:t xml:space="preserve"> pena de não recebimento, e as certidões de regularidade fiscal, social e trabalhista exigidas na habilitação da licitação, ou as justificativas pela impossibilidade de apresentação das referidas certidões, além de outros documentos eventualmente exigidos no </w:t>
      </w:r>
      <w:r>
        <w:rPr>
          <w:rStyle w:val="45"/>
          <w:color w:val="000000"/>
          <w:sz w:val="22"/>
          <w:szCs w:val="22"/>
        </w:rPr>
        <w:t>Termo de Referência</w:t>
      </w:r>
      <w:r>
        <w:rPr>
          <w:color w:val="000000" w:themeColor="text1"/>
          <w:sz w:val="22"/>
          <w:szCs w:val="22"/>
        </w:rPr>
        <w:t xml:space="preserve"> para liquidação e pagamento, em até</w:t>
      </w:r>
      <w:r>
        <w:rPr>
          <w:color w:val="000000" w:themeColor="text1"/>
          <w:sz w:val="22"/>
          <w:szCs w:val="22"/>
          <w:shd w:val="clear" w:fill="auto"/>
        </w:rPr>
        <w:t xml:space="preserve"> 30 (trinta) </w:t>
      </w:r>
      <w:r>
        <w:rPr>
          <w:color w:val="000000" w:themeColor="text1"/>
          <w:sz w:val="22"/>
          <w:szCs w:val="22"/>
        </w:rPr>
        <w:t xml:space="preserve">dias corridos após a entrega do objeto contratado, sob pena de caracterizar a infração tipificada no </w:t>
      </w:r>
      <w:r>
        <w:fldChar w:fldCharType="begin"/>
      </w:r>
      <w:r>
        <w:rPr>
          <w:rStyle w:val="54"/>
          <w:sz w:val="22"/>
          <w:szCs w:val="22"/>
        </w:rPr>
        <w:instrText xml:space="preserve"> HYPERLINK "https://www.planalto.gov.br/ccivil_03/_ato2019-2022/2021/lei/l14133.htm" \l "art155"</w:instrText>
      </w:r>
      <w:r>
        <w:rPr>
          <w:rStyle w:val="54"/>
          <w:sz w:val="22"/>
          <w:szCs w:val="22"/>
        </w:rPr>
        <w:fldChar w:fldCharType="separate"/>
      </w:r>
      <w:r>
        <w:rPr>
          <w:rStyle w:val="54"/>
          <w:sz w:val="22"/>
          <w:szCs w:val="22"/>
        </w:rPr>
        <w:t>art. 155, VII, da Lei Federal nº 14.133, de 2021</w:t>
      </w:r>
      <w:r>
        <w:rPr>
          <w:rStyle w:val="54"/>
          <w:sz w:val="22"/>
          <w:szCs w:val="22"/>
        </w:rPr>
        <w:fldChar w:fldCharType="end"/>
      </w:r>
      <w:r>
        <w:rPr>
          <w:color w:val="000000" w:themeColor="text1"/>
          <w:sz w:val="22"/>
          <w:szCs w:val="22"/>
        </w:rPr>
        <w:t>.</w:t>
      </w:r>
    </w:p>
    <w:p>
      <w:pPr>
        <w:pStyle w:val="28"/>
        <w:numPr>
          <w:ilvl w:val="1"/>
          <w:numId w:val="17"/>
        </w:numPr>
        <w:tabs>
          <w:tab w:val="left" w:pos="993"/>
        </w:tabs>
        <w:spacing w:before="0" w:beforeAutospacing="0" w:after="0" w:afterAutospacing="0"/>
        <w:ind w:left="0" w:firstLine="567"/>
        <w:jc w:val="both"/>
        <w:rPr>
          <w:rFonts w:ascii="Times New Roman" w:hAnsi="Times New Roman"/>
          <w:sz w:val="22"/>
          <w:szCs w:val="22"/>
        </w:rPr>
      </w:pPr>
      <w:r>
        <w:rPr>
          <w:color w:val="000000" w:themeColor="text1"/>
          <w:sz w:val="22"/>
          <w:szCs w:val="22"/>
        </w:rPr>
        <w:t xml:space="preserve">O </w:t>
      </w:r>
      <w:r>
        <w:rPr>
          <w:color w:val="000000"/>
          <w:sz w:val="22"/>
          <w:szCs w:val="22"/>
        </w:rPr>
        <w:t>CNPJ</w:t>
      </w:r>
      <w:r>
        <w:rPr>
          <w:color w:val="000000" w:themeColor="text1"/>
          <w:sz w:val="22"/>
          <w:szCs w:val="22"/>
        </w:rPr>
        <w:t xml:space="preserve"> </w:t>
      </w:r>
      <w:r>
        <w:rPr>
          <w:color w:val="000000"/>
          <w:sz w:val="22"/>
          <w:szCs w:val="22"/>
        </w:rPr>
        <w:t>constante</w:t>
      </w:r>
      <w:r>
        <w:rPr>
          <w:color w:val="000000" w:themeColor="text1"/>
          <w:sz w:val="22"/>
          <w:szCs w:val="22"/>
        </w:rPr>
        <w:t xml:space="preserve"> da Nota Fiscal e/ou DANFE (Documento Auxiliar de Nota Fiscal Eletrônica) deverá ser o mesmo indicado na proposta e neste instrumento de contrato. </w:t>
      </w:r>
    </w:p>
    <w:p>
      <w:pPr>
        <w:pStyle w:val="28"/>
        <w:numPr>
          <w:ilvl w:val="1"/>
          <w:numId w:val="17"/>
        </w:numPr>
        <w:tabs>
          <w:tab w:val="left" w:pos="993"/>
        </w:tabs>
        <w:spacing w:before="0" w:beforeAutospacing="0" w:after="0" w:afterAutospacing="0"/>
        <w:ind w:left="0" w:firstLine="567"/>
        <w:jc w:val="both"/>
      </w:pPr>
      <w:r>
        <w:rPr>
          <w:color w:val="000000"/>
          <w:sz w:val="22"/>
          <w:szCs w:val="22"/>
        </w:rPr>
        <w:t xml:space="preserve">O pagamento do objeto da presente contratação, sujeito à retenção na fonte de tributos e contribuições sociais de acordo com os normativos legais, será efetuado até o 30º (trigésimo) dia, a partir do recebimento definitivo do objeto contratado, com a emissão de ordem bancária para o crédito em conta corrente da Contratada, observada a ordem cronológica estabelecida no </w:t>
      </w:r>
      <w:r>
        <w:fldChar w:fldCharType="begin"/>
      </w:r>
      <w:r>
        <w:rPr>
          <w:rStyle w:val="54"/>
          <w:sz w:val="22"/>
          <w:szCs w:val="22"/>
        </w:rPr>
        <w:instrText xml:space="preserve"> HYPERLINK "https://www.planalto.gov.br/ccivil_03/_ato2019-2022/2021/lei/l14133.htm" \l "art141"</w:instrText>
      </w:r>
      <w:r>
        <w:rPr>
          <w:rStyle w:val="54"/>
          <w:sz w:val="22"/>
          <w:szCs w:val="22"/>
        </w:rPr>
        <w:fldChar w:fldCharType="separate"/>
      </w:r>
      <w:r>
        <w:rPr>
          <w:rStyle w:val="54"/>
          <w:sz w:val="22"/>
          <w:szCs w:val="22"/>
        </w:rPr>
        <w:t>art. 141 da Lei Federal nº 14.133, de 2021</w:t>
      </w:r>
      <w:r>
        <w:rPr>
          <w:rStyle w:val="54"/>
          <w:sz w:val="22"/>
          <w:szCs w:val="22"/>
        </w:rPr>
        <w:fldChar w:fldCharType="end"/>
      </w:r>
      <w:r>
        <w:rPr>
          <w:rStyle w:val="54"/>
          <w:sz w:val="22"/>
          <w:szCs w:val="22"/>
        </w:rPr>
        <w:t>.</w:t>
      </w:r>
    </w:p>
    <w:p>
      <w:pPr>
        <w:pStyle w:val="28"/>
        <w:numPr>
          <w:ilvl w:val="1"/>
          <w:numId w:val="17"/>
        </w:numPr>
        <w:tabs>
          <w:tab w:val="left" w:pos="993"/>
        </w:tabs>
        <w:spacing w:before="0" w:beforeAutospacing="0" w:after="0" w:afterAutospacing="0"/>
        <w:ind w:left="0" w:firstLine="567"/>
        <w:jc w:val="both"/>
      </w:pPr>
      <w:r>
        <w:rPr>
          <w:color w:val="000000"/>
          <w:sz w:val="22"/>
          <w:szCs w:val="22"/>
        </w:rPr>
        <w:t>Nos pagamentos, o Contratante poderá reter cautelarmente valores referente a eventuais multas, prejuízos e indenizações decorrentes de inadimplemento e dano, devendo ser liberada no prazo previsto para pagamento a parcela incontroversa. (</w:t>
      </w:r>
      <w:r>
        <w:fldChar w:fldCharType="begin"/>
      </w:r>
      <w:r>
        <w:rPr>
          <w:rStyle w:val="54"/>
          <w:sz w:val="22"/>
          <w:szCs w:val="22"/>
        </w:rPr>
        <w:instrText xml:space="preserve"> HYPERLINK "http://www.planalto.gov.br/ccivil_03/_ato2019-2022/2021/lei/L14133.htm" \l "art143"</w:instrText>
      </w:r>
      <w:r>
        <w:rPr>
          <w:rStyle w:val="54"/>
          <w:sz w:val="22"/>
          <w:szCs w:val="22"/>
        </w:rPr>
        <w:fldChar w:fldCharType="separate"/>
      </w:r>
      <w:r>
        <w:rPr>
          <w:rStyle w:val="54"/>
          <w:sz w:val="22"/>
          <w:szCs w:val="22"/>
        </w:rPr>
        <w:t>art. 143 da Lei Federal nº 14.133, de 2021</w:t>
      </w:r>
      <w:r>
        <w:rPr>
          <w:rStyle w:val="54"/>
          <w:sz w:val="22"/>
          <w:szCs w:val="22"/>
        </w:rPr>
        <w:fldChar w:fldCharType="end"/>
      </w:r>
      <w:r>
        <w:rPr>
          <w:color w:val="000000"/>
          <w:sz w:val="22"/>
          <w:szCs w:val="22"/>
        </w:rPr>
        <w:t>)</w:t>
      </w:r>
    </w:p>
    <w:p>
      <w:pPr>
        <w:pStyle w:val="28"/>
        <w:numPr>
          <w:ilvl w:val="1"/>
          <w:numId w:val="17"/>
        </w:numPr>
        <w:tabs>
          <w:tab w:val="left" w:pos="993"/>
        </w:tabs>
        <w:spacing w:before="0" w:beforeAutospacing="0" w:after="0" w:afterAutospacing="0"/>
        <w:ind w:left="0" w:firstLine="567"/>
        <w:jc w:val="both"/>
        <w:rPr>
          <w:rFonts w:ascii="Times New Roman" w:hAnsi="Times New Roman"/>
          <w:sz w:val="22"/>
          <w:szCs w:val="22"/>
        </w:rPr>
      </w:pPr>
      <w:r>
        <w:rPr>
          <w:color w:val="000000"/>
          <w:sz w:val="22"/>
          <w:szCs w:val="22"/>
        </w:rPr>
        <w:t>O Contratante não efetuará pagamento de título descontado, ou por meio de cobrança em banco, bem como, os que forem negociados com terceiros por intermédio da operação de “</w:t>
      </w:r>
      <w:r>
        <w:rPr>
          <w:i/>
          <w:iCs/>
          <w:color w:val="000000"/>
          <w:sz w:val="22"/>
          <w:szCs w:val="22"/>
        </w:rPr>
        <w:t>factoring</w:t>
      </w:r>
      <w:r>
        <w:rPr>
          <w:color w:val="000000"/>
          <w:sz w:val="22"/>
          <w:szCs w:val="22"/>
        </w:rPr>
        <w:t>”.</w:t>
      </w:r>
    </w:p>
    <w:p>
      <w:pPr>
        <w:pStyle w:val="28"/>
        <w:numPr>
          <w:ilvl w:val="1"/>
          <w:numId w:val="17"/>
        </w:numPr>
        <w:tabs>
          <w:tab w:val="left" w:pos="993"/>
        </w:tabs>
        <w:spacing w:before="0" w:beforeAutospacing="0" w:after="120" w:afterAutospacing="0"/>
        <w:ind w:left="0" w:firstLine="567"/>
        <w:jc w:val="both"/>
      </w:pPr>
      <w:r>
        <w:rPr>
          <w:color w:val="000000" w:themeColor="text1"/>
          <w:sz w:val="22"/>
          <w:szCs w:val="22"/>
        </w:rPr>
        <w:t xml:space="preserve">Nos termos do </w:t>
      </w:r>
      <w:r>
        <w:fldChar w:fldCharType="begin"/>
      </w:r>
      <w:r>
        <w:rPr>
          <w:rStyle w:val="54"/>
          <w:sz w:val="22"/>
          <w:szCs w:val="22"/>
        </w:rPr>
        <w:instrText xml:space="preserve"> HYPERLINK "https://www.planalto.gov.br/ccivil_03/_ato2019-2022/2021/lei/l14133.htm" \l "art92"</w:instrText>
      </w:r>
      <w:r>
        <w:rPr>
          <w:rStyle w:val="54"/>
          <w:sz w:val="22"/>
          <w:szCs w:val="22"/>
        </w:rPr>
        <w:fldChar w:fldCharType="separate"/>
      </w:r>
      <w:r>
        <w:rPr>
          <w:rStyle w:val="54"/>
          <w:sz w:val="22"/>
          <w:szCs w:val="22"/>
        </w:rPr>
        <w:t>art. 92, V, da Lei Federal nº 14.133, de 2021</w:t>
      </w:r>
      <w:r>
        <w:rPr>
          <w:rStyle w:val="54"/>
          <w:sz w:val="22"/>
          <w:szCs w:val="22"/>
        </w:rPr>
        <w:fldChar w:fldCharType="end"/>
      </w:r>
      <w:r>
        <w:rPr>
          <w:color w:val="000000" w:themeColor="text1"/>
          <w:sz w:val="22"/>
          <w:szCs w:val="22"/>
        </w:rPr>
        <w:t xml:space="preserve">, caso o </w:t>
      </w:r>
      <w:r>
        <w:rPr>
          <w:rFonts w:eastAsia="Cambria"/>
          <w:color w:val="000000" w:themeColor="text1"/>
          <w:sz w:val="22"/>
          <w:szCs w:val="22"/>
        </w:rPr>
        <w:t>pagamento</w:t>
      </w:r>
      <w:r>
        <w:rPr>
          <w:color w:val="000000" w:themeColor="text1"/>
          <w:sz w:val="22"/>
          <w:szCs w:val="22"/>
        </w:rPr>
        <w:t xml:space="preserve"> seja efetuado </w:t>
      </w:r>
      <w:r>
        <w:rPr>
          <w:color w:val="000000"/>
          <w:sz w:val="22"/>
          <w:szCs w:val="22"/>
        </w:rPr>
        <w:t>após</w:t>
      </w:r>
      <w:r>
        <w:rPr>
          <w:color w:val="000000" w:themeColor="text1"/>
          <w:sz w:val="22"/>
          <w:szCs w:val="22"/>
        </w:rPr>
        <w:t xml:space="preserve"> 30 (</w:t>
      </w:r>
      <w:r>
        <w:rPr>
          <w:color w:val="000000"/>
          <w:sz w:val="22"/>
          <w:szCs w:val="22"/>
        </w:rPr>
        <w:t>trinta</w:t>
      </w:r>
      <w:r>
        <w:rPr>
          <w:color w:val="000000" w:themeColor="text1"/>
          <w:sz w:val="22"/>
          <w:szCs w:val="22"/>
        </w:rPr>
        <w:t xml:space="preserve">) dias do recebimento definitivo do objeto contratado, desde que a Contratada não tenha concorrido de alguma forma para tanto, fica convencionado que a taxa de compensação financeira devida pelo </w:t>
      </w:r>
      <w:r>
        <w:rPr>
          <w:color w:val="000000"/>
          <w:sz w:val="22"/>
          <w:szCs w:val="22"/>
        </w:rPr>
        <w:t>Contratante</w:t>
      </w:r>
      <w:r>
        <w:rPr>
          <w:color w:val="000000" w:themeColor="text1"/>
          <w:sz w:val="22"/>
          <w:szCs w:val="22"/>
        </w:rPr>
        <w:t>, entre o 31º (trigésimo primeiro) dia e a data da emissão da ordem bancária, será a seguinte:</w:t>
      </w:r>
    </w:p>
    <w:p>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EM = I x N x VP</w:t>
      </w:r>
    </w:p>
    <w:p>
      <w:pPr>
        <w:spacing w:before="0" w:after="0" w:line="240" w:lineRule="auto"/>
        <w:ind w:firstLine="567"/>
        <w:jc w:val="both"/>
        <w:textAlignment w:val="baseline"/>
        <w:rPr>
          <w:rFonts w:ascii="Times New Roman" w:hAnsi="Times New Roman"/>
          <w:sz w:val="22"/>
          <w:szCs w:val="22"/>
        </w:rPr>
      </w:pPr>
      <w:r>
        <w:rPr>
          <w:rFonts w:ascii="Times New Roman" w:hAnsi="Times New Roman" w:eastAsia="Times New Roman" w:cs="Times New Roman"/>
          <w:color w:val="000000"/>
          <w:sz w:val="22"/>
          <w:szCs w:val="22"/>
          <w:lang w:eastAsia="pt-BR"/>
        </w:rPr>
        <w:t>Onde:</w:t>
      </w:r>
    </w:p>
    <w:p>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EM</w:t>
      </w:r>
      <w:r>
        <w:rPr>
          <w:rFonts w:ascii="Times New Roman" w:hAnsi="Times New Roman" w:eastAsia="Times New Roman" w:cs="Times New Roman"/>
          <w:color w:val="000000"/>
          <w:sz w:val="22"/>
          <w:szCs w:val="22"/>
          <w:lang w:eastAsia="pt-BR"/>
        </w:rPr>
        <w:t xml:space="preserve"> = encargos moratórios;</w:t>
      </w:r>
    </w:p>
    <w:p>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I</w:t>
      </w:r>
      <w:r>
        <w:rPr>
          <w:rFonts w:ascii="Times New Roman" w:hAnsi="Times New Roman" w:eastAsia="Times New Roman" w:cs="Times New Roman"/>
          <w:color w:val="000000"/>
          <w:sz w:val="22"/>
          <w:szCs w:val="22"/>
          <w:lang w:eastAsia="pt-BR"/>
        </w:rPr>
        <w:t xml:space="preserve"> = 0,0001644 (índice de compensação financeira por dia de atraso, assim apurado: I = (6/100/365);</w:t>
      </w:r>
    </w:p>
    <w:p>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N</w:t>
      </w:r>
      <w:r>
        <w:rPr>
          <w:rFonts w:ascii="Times New Roman" w:hAnsi="Times New Roman" w:eastAsia="Times New Roman" w:cs="Times New Roman"/>
          <w:color w:val="000000"/>
          <w:sz w:val="22"/>
          <w:szCs w:val="22"/>
          <w:lang w:eastAsia="pt-BR"/>
        </w:rPr>
        <w:t xml:space="preserve"> = número de dias entre a data limite para o pagamento e a do efetivo pagamento;</w:t>
      </w:r>
    </w:p>
    <w:p>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VP</w:t>
      </w:r>
      <w:r>
        <w:rPr>
          <w:rFonts w:ascii="Times New Roman" w:hAnsi="Times New Roman" w:eastAsia="Times New Roman" w:cs="Times New Roman"/>
          <w:color w:val="000000"/>
          <w:sz w:val="22"/>
          <w:szCs w:val="22"/>
          <w:lang w:eastAsia="pt-BR"/>
        </w:rPr>
        <w:t xml:space="preserve"> = valor da parcela a ser paga.</w:t>
      </w:r>
    </w:p>
    <w:p>
      <w:pPr>
        <w:pStyle w:val="28"/>
        <w:numPr>
          <w:ilvl w:val="0"/>
          <w:numId w:val="17"/>
        </w:numPr>
        <w:pBdr>
          <w:bottom w:val="single" w:color="000000" w:themeColor="dark1" w:sz="4" w:space="1"/>
        </w:pBdr>
        <w:shd w:val="clear" w:color="auto" w:fill="BEBEBE" w:themeFill="background1" w:themeFillShade="BF"/>
        <w:spacing w:before="360" w:beforeAutospacing="0" w:after="0" w:afterAutospacing="0"/>
        <w:jc w:val="both"/>
      </w:pPr>
      <w:bookmarkStart w:id="76" w:name="_REAJUSTE_(art._92,"/>
      <w:bookmarkEnd w:id="76"/>
      <w:r>
        <w:rPr>
          <w:rStyle w:val="11"/>
          <w:color w:val="000000"/>
          <w:sz w:val="22"/>
          <w:szCs w:val="22"/>
        </w:rPr>
        <w:t>GARANTIA DE EXECUÇÃO</w:t>
      </w:r>
      <w:r>
        <w:rPr>
          <w:sz w:val="22"/>
          <w:szCs w:val="22"/>
        </w:rPr>
        <w:t xml:space="preserve"> (</w:t>
      </w:r>
      <w:r>
        <w:fldChar w:fldCharType="begin"/>
      </w:r>
      <w:r>
        <w:rPr>
          <w:rStyle w:val="54"/>
          <w:sz w:val="22"/>
          <w:szCs w:val="22"/>
        </w:rPr>
        <w:instrText xml:space="preserve"> HYPERLINK "http://www.planalto.gov.br/ccivil_03/_ato2019-2022/2021/lei/L14133.htm" \l "art92"</w:instrText>
      </w:r>
      <w:r>
        <w:rPr>
          <w:rStyle w:val="54"/>
          <w:sz w:val="22"/>
          <w:szCs w:val="22"/>
        </w:rPr>
        <w:fldChar w:fldCharType="separate"/>
      </w:r>
      <w:r>
        <w:rPr>
          <w:rStyle w:val="54"/>
          <w:sz w:val="22"/>
          <w:szCs w:val="22"/>
        </w:rPr>
        <w:t>art. 92, XII</w:t>
      </w:r>
      <w:r>
        <w:rPr>
          <w:rStyle w:val="54"/>
          <w:sz w:val="22"/>
          <w:szCs w:val="22"/>
        </w:rPr>
        <w:fldChar w:fldCharType="end"/>
      </w:r>
      <w:r>
        <w:rPr>
          <w:rStyle w:val="54"/>
          <w:sz w:val="22"/>
          <w:szCs w:val="22"/>
        </w:rPr>
        <w:t xml:space="preserve"> e XIII, da Lei Federal nº 14.133, de 2021</w:t>
      </w:r>
      <w:r>
        <w:rPr>
          <w:sz w:val="22"/>
          <w:szCs w:val="22"/>
        </w:rPr>
        <w:t>)</w:t>
      </w:r>
    </w:p>
    <w:p>
      <w:pPr>
        <w:pStyle w:val="28"/>
        <w:numPr>
          <w:ilvl w:val="1"/>
          <w:numId w:val="17"/>
        </w:numPr>
        <w:tabs>
          <w:tab w:val="left" w:pos="993"/>
        </w:tabs>
        <w:spacing w:before="0" w:beforeAutospacing="0" w:after="0" w:afterAutospacing="0"/>
        <w:ind w:left="0" w:firstLine="567"/>
        <w:jc w:val="both"/>
      </w:pPr>
      <w:r>
        <w:rPr>
          <w:color w:val="000000"/>
          <w:sz w:val="22"/>
          <w:szCs w:val="22"/>
        </w:rPr>
        <w:t>A garantia legal de adequação do serviço independe de termo expresso, vedada a exoneração contratual do fornecedor. (</w:t>
      </w:r>
      <w:r>
        <w:fldChar w:fldCharType="begin"/>
      </w:r>
      <w:r>
        <w:rPr>
          <w:rStyle w:val="54"/>
          <w:sz w:val="22"/>
          <w:szCs w:val="22"/>
        </w:rPr>
        <w:instrText xml:space="preserve"> HYPERLINK "https://www.planalto.gov.br/ccivil_03/leis/l8078compilado.htm" \l "art24"</w:instrText>
      </w:r>
      <w:r>
        <w:rPr>
          <w:rStyle w:val="54"/>
          <w:sz w:val="22"/>
          <w:szCs w:val="22"/>
        </w:rPr>
        <w:fldChar w:fldCharType="separate"/>
      </w:r>
      <w:r>
        <w:rPr>
          <w:rStyle w:val="54"/>
          <w:sz w:val="22"/>
          <w:szCs w:val="22"/>
        </w:rPr>
        <w:t>art. 24 da Lei Federal nº 8.078, de 1990</w:t>
      </w:r>
      <w:r>
        <w:rPr>
          <w:rStyle w:val="54"/>
          <w:sz w:val="22"/>
          <w:szCs w:val="22"/>
        </w:rPr>
        <w:fldChar w:fldCharType="end"/>
      </w:r>
      <w:r>
        <w:rPr>
          <w:color w:val="000000"/>
          <w:sz w:val="22"/>
          <w:szCs w:val="22"/>
        </w:rPr>
        <w:t>)</w:t>
      </w:r>
    </w:p>
    <w:p>
      <w:pPr>
        <w:pStyle w:val="28"/>
        <w:numPr>
          <w:ilvl w:val="1"/>
          <w:numId w:val="17"/>
        </w:numPr>
        <w:tabs>
          <w:tab w:val="left" w:pos="993"/>
        </w:tabs>
        <w:spacing w:before="0" w:beforeAutospacing="0" w:after="0" w:afterAutospacing="0"/>
        <w:ind w:left="0" w:firstLine="567"/>
        <w:jc w:val="both"/>
      </w:pPr>
      <w:r>
        <w:rPr>
          <w:color w:val="000000"/>
          <w:sz w:val="22"/>
          <w:szCs w:val="22"/>
        </w:rPr>
        <w:t>A garantia contratual é complementar à legal. (</w:t>
      </w:r>
      <w:r>
        <w:fldChar w:fldCharType="begin"/>
      </w:r>
      <w:r>
        <w:rPr>
          <w:rStyle w:val="54"/>
          <w:sz w:val="22"/>
          <w:szCs w:val="22"/>
        </w:rPr>
        <w:instrText xml:space="preserve"> HYPERLINK "https://www.planalto.gov.br/ccivil_03/leis/l8078compilado.htm" \l "art50"</w:instrText>
      </w:r>
      <w:r>
        <w:rPr>
          <w:rStyle w:val="54"/>
          <w:sz w:val="22"/>
          <w:szCs w:val="22"/>
        </w:rPr>
        <w:fldChar w:fldCharType="separate"/>
      </w:r>
      <w:r>
        <w:rPr>
          <w:rStyle w:val="54"/>
          <w:sz w:val="22"/>
          <w:szCs w:val="22"/>
        </w:rPr>
        <w:t>art. 50 da Lei Federal nº 8.078, de 1990</w:t>
      </w:r>
      <w:r>
        <w:rPr>
          <w:rStyle w:val="54"/>
          <w:sz w:val="22"/>
          <w:szCs w:val="22"/>
        </w:rPr>
        <w:fldChar w:fldCharType="end"/>
      </w:r>
      <w:r>
        <w:rPr>
          <w:color w:val="000000"/>
          <w:sz w:val="22"/>
          <w:szCs w:val="22"/>
        </w:rPr>
        <w:t>)</w:t>
      </w:r>
    </w:p>
    <w:p>
      <w:pPr>
        <w:pStyle w:val="28"/>
        <w:numPr>
          <w:ilvl w:val="0"/>
          <w:numId w:val="17"/>
        </w:numPr>
        <w:pBdr>
          <w:bottom w:val="single" w:color="000000" w:themeColor="dark1" w:sz="4" w:space="1"/>
        </w:pBdr>
        <w:shd w:val="clear" w:color="auto" w:fill="BEBEBE" w:themeFill="background1" w:themeFillShade="BF"/>
        <w:spacing w:before="0" w:beforeAutospacing="0" w:after="0" w:afterAutospacing="0"/>
        <w:jc w:val="both"/>
      </w:pPr>
      <w:r>
        <w:rPr>
          <w:rStyle w:val="11"/>
          <w:color w:val="000000"/>
          <w:sz w:val="22"/>
          <w:szCs w:val="22"/>
        </w:rPr>
        <w:t>REAJUSTE</w:t>
      </w:r>
      <w:r>
        <w:rPr>
          <w:sz w:val="22"/>
          <w:szCs w:val="22"/>
        </w:rPr>
        <w:t xml:space="preserve"> (</w:t>
      </w:r>
      <w:r>
        <w:fldChar w:fldCharType="begin"/>
      </w:r>
      <w:r>
        <w:rPr>
          <w:rStyle w:val="54"/>
          <w:sz w:val="22"/>
          <w:szCs w:val="22"/>
        </w:rPr>
        <w:instrText xml:space="preserve"> HYPERLINK "http://www.planalto.gov.br/ccivil_03/_ato2019-2022/2021/lei/L14133.htm" \l "art92"</w:instrText>
      </w:r>
      <w:r>
        <w:rPr>
          <w:rStyle w:val="54"/>
          <w:sz w:val="22"/>
          <w:szCs w:val="22"/>
        </w:rPr>
        <w:fldChar w:fldCharType="separate"/>
      </w:r>
      <w:r>
        <w:rPr>
          <w:rStyle w:val="54"/>
          <w:sz w:val="22"/>
          <w:szCs w:val="22"/>
        </w:rPr>
        <w:t>art. 92, § 3º, da Lei Federal nº 14.133, de 2021</w:t>
      </w:r>
      <w:r>
        <w:rPr>
          <w:rStyle w:val="54"/>
          <w:sz w:val="22"/>
          <w:szCs w:val="22"/>
        </w:rPr>
        <w:fldChar w:fldCharType="end"/>
      </w:r>
      <w:r>
        <w:rPr>
          <w:sz w:val="22"/>
          <w:szCs w:val="22"/>
        </w:rPr>
        <w:t>)</w:t>
      </w:r>
    </w:p>
    <w:p>
      <w:pPr>
        <w:pStyle w:val="28"/>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Os preços inicialmente contratados são fixos e irreajustáveis no prazo de um ano contado da data da proposta (dia de abertura do certame licitatório).</w:t>
      </w:r>
    </w:p>
    <w:p>
      <w:pPr>
        <w:pStyle w:val="28"/>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Após o interregno de um ano, independentemente de pedido da Contratada, os preços iniciais serão reajustados, exclusivamente para as obrigações iniciadas e concluídas após a ocorrência da anualidade.</w:t>
      </w:r>
    </w:p>
    <w:p>
      <w:pPr>
        <w:pStyle w:val="28"/>
        <w:numPr>
          <w:ilvl w:val="1"/>
          <w:numId w:val="17"/>
        </w:numPr>
        <w:tabs>
          <w:tab w:val="left" w:pos="993"/>
        </w:tabs>
        <w:spacing w:before="0" w:beforeAutospacing="0" w:after="120" w:afterAutospacing="0"/>
        <w:ind w:left="0" w:firstLine="567"/>
        <w:jc w:val="both"/>
        <w:rPr>
          <w:rFonts w:ascii="Times New Roman" w:hAnsi="Times New Roman"/>
          <w:sz w:val="22"/>
          <w:szCs w:val="22"/>
        </w:rPr>
      </w:pPr>
      <w:r>
        <w:rPr>
          <w:color w:val="000000" w:themeColor="text1"/>
          <w:sz w:val="22"/>
          <w:szCs w:val="22"/>
        </w:rPr>
        <w:t xml:space="preserve">Para </w:t>
      </w:r>
      <w:r>
        <w:rPr>
          <w:color w:val="000000"/>
          <w:sz w:val="22"/>
          <w:szCs w:val="22"/>
        </w:rPr>
        <w:t>efeito</w:t>
      </w:r>
      <w:r>
        <w:rPr>
          <w:color w:val="000000" w:themeColor="text1"/>
          <w:sz w:val="22"/>
          <w:szCs w:val="22"/>
        </w:rPr>
        <w:t xml:space="preserve"> do disposto no item anterior, será apreciada a possibilidade da aplicação do Índice Nacional de Preços ao Consumidor - INPC - do Instituto Brasileiro de Geografia e Estatística - IBGE, com data-base vinculada à data da proposta, de acordo com a seguinte fórmula:</w:t>
      </w:r>
    </w:p>
    <w:p>
      <w:pPr>
        <w:pStyle w:val="3"/>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rPr>
        <w:t>PR = PI x IR</w:t>
      </w:r>
    </w:p>
    <w:p>
      <w:pPr>
        <w:pStyle w:val="3"/>
        <w:tabs>
          <w:tab w:val="left" w:pos="1134"/>
        </w:tabs>
        <w:spacing w:before="120" w:beforeAutospacing="0" w:after="120" w:afterAutospacing="0"/>
        <w:ind w:left="567"/>
        <w:jc w:val="both"/>
        <w:textAlignment w:val="baseline"/>
        <w:rPr>
          <w:rFonts w:ascii="Times New Roman" w:hAnsi="Times New Roman"/>
          <w:sz w:val="22"/>
          <w:szCs w:val="22"/>
        </w:rPr>
      </w:pPr>
      <w:r>
        <w:rPr>
          <w:color w:val="000000" w:themeColor="text1"/>
          <w:sz w:val="22"/>
          <w:szCs w:val="22"/>
        </w:rPr>
        <w:t>Onde:</w:t>
      </w:r>
    </w:p>
    <w:p>
      <w:pPr>
        <w:pStyle w:val="3"/>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rPr>
        <w:t>PR</w:t>
      </w:r>
      <w:r>
        <w:rPr>
          <w:color w:val="000000" w:themeColor="text1"/>
          <w:sz w:val="22"/>
          <w:szCs w:val="22"/>
        </w:rPr>
        <w:t xml:space="preserve"> = Preço reajustado</w:t>
      </w:r>
    </w:p>
    <w:p>
      <w:pPr>
        <w:pStyle w:val="3"/>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rPr>
        <w:t>PI</w:t>
      </w:r>
      <w:r>
        <w:rPr>
          <w:color w:val="000000" w:themeColor="text1"/>
          <w:sz w:val="22"/>
          <w:szCs w:val="22"/>
        </w:rPr>
        <w:t xml:space="preserve"> = Preço inicial </w:t>
      </w:r>
    </w:p>
    <w:p>
      <w:pPr>
        <w:pStyle w:val="3"/>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rPr>
        <w:t xml:space="preserve">IR </w:t>
      </w:r>
      <w:r>
        <w:rPr>
          <w:color w:val="000000" w:themeColor="text1"/>
          <w:sz w:val="22"/>
          <w:szCs w:val="22"/>
        </w:rPr>
        <w:t>= Índice de reajuste</w:t>
      </w:r>
    </w:p>
    <w:p>
      <w:pPr>
        <w:pStyle w:val="28"/>
        <w:numPr>
          <w:ilvl w:val="1"/>
          <w:numId w:val="17"/>
        </w:numPr>
        <w:tabs>
          <w:tab w:val="left" w:pos="993"/>
        </w:tabs>
        <w:spacing w:before="120" w:beforeAutospacing="0" w:after="0" w:afterAutospacing="0"/>
        <w:ind w:left="0" w:firstLine="567"/>
        <w:jc w:val="both"/>
        <w:rPr>
          <w:rFonts w:ascii="Times New Roman" w:hAnsi="Times New Roman"/>
          <w:sz w:val="22"/>
          <w:szCs w:val="22"/>
        </w:rPr>
      </w:pPr>
      <w:r>
        <w:rPr>
          <w:color w:val="000000" w:themeColor="text1"/>
          <w:sz w:val="22"/>
          <w:szCs w:val="22"/>
        </w:rPr>
        <w:t xml:space="preserve">Na </w:t>
      </w:r>
      <w:r>
        <w:rPr>
          <w:color w:val="000000"/>
          <w:sz w:val="22"/>
          <w:szCs w:val="22"/>
        </w:rPr>
        <w:t>hipótese</w:t>
      </w:r>
      <w:r>
        <w:rPr>
          <w:color w:val="000000" w:themeColor="text1"/>
          <w:sz w:val="22"/>
          <w:szCs w:val="22"/>
        </w:rPr>
        <w:t xml:space="preserve"> de reajuste, a Contratada será consultada sobre a possibilidade de renúncia ao </w:t>
      </w:r>
      <w:r>
        <w:rPr>
          <w:color w:val="000000"/>
          <w:sz w:val="22"/>
          <w:szCs w:val="22"/>
        </w:rPr>
        <w:t>reajuste</w:t>
      </w:r>
      <w:r>
        <w:rPr>
          <w:color w:val="000000" w:themeColor="text1"/>
          <w:sz w:val="22"/>
          <w:szCs w:val="22"/>
        </w:rPr>
        <w:t>.</w:t>
      </w:r>
    </w:p>
    <w:p>
      <w:pPr>
        <w:pStyle w:val="28"/>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somente terá direito a reajustes se não tiver dado causa a atrasos no cumprimento de suas obrigações.</w:t>
      </w:r>
    </w:p>
    <w:p>
      <w:pPr>
        <w:pStyle w:val="28"/>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Nos reajustes subsequentes ao primeiro, o interregno mínimo de um ano será contado a partir dos efeitos financeiros do último reajuste.</w:t>
      </w:r>
    </w:p>
    <w:p>
      <w:pPr>
        <w:pStyle w:val="28"/>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Fica a Contratada obrigada a apresentar memória de cálculo referente ao reajustamento de preços do valor remanescente, sempre que este ocorrer.</w:t>
      </w:r>
    </w:p>
    <w:p>
      <w:pPr>
        <w:pStyle w:val="28"/>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Caso o(s) índice(s) estabelecido(s) para reajustamento venha(m) a ser extinto(s) ou de qualquer forma não possa(m) mais ser utilizado(s), será(ão) adotado(s), em substituição, o(s) que vier(em) a ser determinado(s) pela legislação então em vigor.</w:t>
      </w:r>
    </w:p>
    <w:p>
      <w:pPr>
        <w:pStyle w:val="28"/>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Na ausência de previsão legal quanto ao índice substituto, as partes elegerão novo índice oficial, para reajustamento do preço do valor remanescente, por meio de termo aditivo. </w:t>
      </w:r>
    </w:p>
    <w:p>
      <w:pPr>
        <w:pStyle w:val="28"/>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O reajuste será realizado por apostilamento.</w:t>
      </w:r>
    </w:p>
    <w:p>
      <w:pPr>
        <w:pStyle w:val="28"/>
        <w:numPr>
          <w:ilvl w:val="0"/>
          <w:numId w:val="17"/>
        </w:numPr>
        <w:pBdr>
          <w:bottom w:val="single" w:color="000000" w:themeColor="dark1" w:sz="4" w:space="1"/>
        </w:pBdr>
        <w:shd w:val="clear" w:color="auto" w:fill="BEBEBE" w:themeFill="background1" w:themeFillShade="BF"/>
        <w:spacing w:before="0" w:beforeAutospacing="0" w:after="0" w:afterAutospacing="0"/>
        <w:jc w:val="both"/>
      </w:pPr>
      <w:r>
        <w:rPr>
          <w:rStyle w:val="11"/>
          <w:color w:val="000000"/>
          <w:sz w:val="22"/>
          <w:szCs w:val="22"/>
        </w:rPr>
        <w:t>SANÇÕES ADMINISTRATIVAS</w:t>
      </w:r>
      <w:r>
        <w:rPr>
          <w:sz w:val="22"/>
          <w:szCs w:val="22"/>
        </w:rPr>
        <w:t xml:space="preserve"> (</w:t>
      </w:r>
      <w:r>
        <w:fldChar w:fldCharType="begin"/>
      </w:r>
      <w:r>
        <w:rPr>
          <w:rStyle w:val="54"/>
          <w:sz w:val="22"/>
          <w:szCs w:val="22"/>
        </w:rPr>
        <w:instrText xml:space="preserve"> HYPERLINK "http://www.planalto.gov.br/ccivil_03/_ato2019-2022/2021/lei/L14133.htm" \l "art92"</w:instrText>
      </w:r>
      <w:r>
        <w:rPr>
          <w:rStyle w:val="54"/>
          <w:sz w:val="22"/>
          <w:szCs w:val="22"/>
        </w:rPr>
        <w:fldChar w:fldCharType="separate"/>
      </w:r>
      <w:r>
        <w:rPr>
          <w:rStyle w:val="54"/>
          <w:sz w:val="22"/>
          <w:szCs w:val="22"/>
        </w:rPr>
        <w:t>art. 92, XIV</w:t>
      </w:r>
      <w:r>
        <w:rPr>
          <w:rStyle w:val="54"/>
          <w:sz w:val="22"/>
          <w:szCs w:val="22"/>
        </w:rPr>
        <w:fldChar w:fldCharType="end"/>
      </w:r>
      <w:r>
        <w:rPr>
          <w:rStyle w:val="54"/>
          <w:sz w:val="22"/>
          <w:szCs w:val="22"/>
        </w:rPr>
        <w:t>, da Lei Federal nº 14.133, de 2021</w:t>
      </w:r>
      <w:r>
        <w:rPr>
          <w:sz w:val="22"/>
          <w:szCs w:val="22"/>
        </w:rPr>
        <w:t>)</w:t>
      </w:r>
    </w:p>
    <w:p>
      <w:pPr>
        <w:pStyle w:val="28"/>
        <w:numPr>
          <w:ilvl w:val="1"/>
          <w:numId w:val="17"/>
        </w:numPr>
        <w:tabs>
          <w:tab w:val="left" w:pos="993"/>
        </w:tabs>
        <w:spacing w:before="0" w:beforeAutospacing="0" w:after="0" w:afterAutospacing="0"/>
        <w:ind w:left="0" w:firstLine="567"/>
        <w:jc w:val="both"/>
      </w:pPr>
      <w:r>
        <w:rPr>
          <w:color w:val="000000"/>
          <w:sz w:val="22"/>
          <w:szCs w:val="22"/>
        </w:rPr>
        <w:t xml:space="preserve">No </w:t>
      </w:r>
      <w:r>
        <w:rPr>
          <w:sz w:val="22"/>
          <w:szCs w:val="22"/>
        </w:rPr>
        <w:t>caso</w:t>
      </w:r>
      <w:r>
        <w:rPr>
          <w:color w:val="000000"/>
          <w:sz w:val="22"/>
          <w:szCs w:val="22"/>
        </w:rPr>
        <w:t xml:space="preserve"> de a Contratada incorrer em uma ou mais condutas tipificadas no </w:t>
      </w:r>
      <w:r>
        <w:fldChar w:fldCharType="begin"/>
      </w:r>
      <w:r>
        <w:rPr>
          <w:rStyle w:val="54"/>
          <w:sz w:val="22"/>
          <w:szCs w:val="22"/>
        </w:rPr>
        <w:instrText xml:space="preserve"> HYPERLINK "https://www.planalto.gov.br/ccivil_03/_ato2019-2022/2021/lei/l14133.htm" \l "art155"</w:instrText>
      </w:r>
      <w:r>
        <w:rPr>
          <w:rStyle w:val="54"/>
          <w:sz w:val="22"/>
          <w:szCs w:val="22"/>
        </w:rPr>
        <w:fldChar w:fldCharType="separate"/>
      </w:r>
      <w:r>
        <w:rPr>
          <w:rStyle w:val="54"/>
          <w:sz w:val="22"/>
          <w:szCs w:val="22"/>
        </w:rPr>
        <w:t>art. 155 da Lei Federal nº 14.133, de 2021</w:t>
      </w:r>
      <w:r>
        <w:rPr>
          <w:rStyle w:val="54"/>
          <w:sz w:val="22"/>
          <w:szCs w:val="22"/>
        </w:rPr>
        <w:fldChar w:fldCharType="end"/>
      </w:r>
      <w:r>
        <w:rPr>
          <w:color w:val="000000"/>
          <w:sz w:val="22"/>
          <w:szCs w:val="22"/>
        </w:rPr>
        <w:t xml:space="preserve">, será responsabilizada administrativamente em uma ou mais das sanções previstas no </w:t>
      </w:r>
      <w:r>
        <w:fldChar w:fldCharType="begin"/>
      </w:r>
      <w:r>
        <w:rPr>
          <w:rStyle w:val="54"/>
          <w:sz w:val="22"/>
          <w:szCs w:val="22"/>
        </w:rPr>
        <w:instrText xml:space="preserve"> HYPERLINK "https://www.planalto.gov.br/ccivil_03/_ato2019-2022/2021/lei/l14133.htm" \l "art156"</w:instrText>
      </w:r>
      <w:r>
        <w:rPr>
          <w:rStyle w:val="54"/>
          <w:sz w:val="22"/>
          <w:szCs w:val="22"/>
        </w:rPr>
        <w:fldChar w:fldCharType="separate"/>
      </w:r>
      <w:r>
        <w:rPr>
          <w:rStyle w:val="54"/>
          <w:sz w:val="22"/>
          <w:szCs w:val="22"/>
        </w:rPr>
        <w:t>art. 156, da Lei Federal nº 14.133, de 2021</w:t>
      </w:r>
      <w:r>
        <w:rPr>
          <w:rStyle w:val="54"/>
          <w:sz w:val="22"/>
          <w:szCs w:val="22"/>
        </w:rPr>
        <w:fldChar w:fldCharType="end"/>
      </w:r>
      <w:r>
        <w:rPr>
          <w:color w:val="000000"/>
          <w:sz w:val="22"/>
          <w:szCs w:val="22"/>
        </w:rPr>
        <w:t>, garantido o direito à ampla defesa e contraditório.</w:t>
      </w:r>
    </w:p>
    <w:p>
      <w:pPr>
        <w:pStyle w:val="28"/>
        <w:numPr>
          <w:ilvl w:val="1"/>
          <w:numId w:val="17"/>
        </w:numPr>
        <w:tabs>
          <w:tab w:val="left" w:pos="993"/>
        </w:tabs>
        <w:spacing w:before="0" w:beforeAutospacing="0" w:after="0" w:afterAutospacing="0"/>
        <w:ind w:left="0" w:firstLine="567"/>
        <w:jc w:val="both"/>
        <w:rPr>
          <w:rFonts w:ascii="Times New Roman" w:hAnsi="Times New Roman"/>
          <w:sz w:val="22"/>
          <w:szCs w:val="22"/>
        </w:rPr>
      </w:pPr>
      <w:r>
        <w:rPr>
          <w:color w:val="000000"/>
          <w:sz w:val="22"/>
          <w:szCs w:val="22"/>
        </w:rPr>
        <w:t>Em caso de atraso na execução dos serviços, será aplicada multa de mora, correspondente a 2% (um por cento) por dia útil de atraso, incidente sobre o valor da parcela inadimplida, até o limite máximo de 10% (dez por cento), nas hipóteses de atraso injustificado na entrega do(s) serviço(s). A entrega após esse prazo configura a inexecução parcial do contrato, cuja multa será de 15% (quinze por cento) sobre o valor total da contratação e a não entrega até 10 (trinta) dias úteis após o prazo final de entrega caracterizará inexecução total do contrato, cuja multa será de 20% (vinte por cento) sobre o valor total da contratação.</w:t>
      </w:r>
    </w:p>
    <w:p>
      <w:pPr>
        <w:pStyle w:val="28"/>
        <w:numPr>
          <w:ilvl w:val="1"/>
          <w:numId w:val="17"/>
        </w:numPr>
        <w:tabs>
          <w:tab w:val="left" w:pos="993"/>
        </w:tabs>
        <w:spacing w:before="0" w:beforeAutospacing="0" w:after="0" w:afterAutospacing="0"/>
        <w:ind w:left="0" w:firstLine="567"/>
        <w:jc w:val="both"/>
      </w:pPr>
      <w:r>
        <w:rPr>
          <w:color w:val="000000"/>
          <w:sz w:val="22"/>
          <w:szCs w:val="22"/>
        </w:rPr>
        <w:t xml:space="preserve">Na </w:t>
      </w:r>
      <w:r>
        <w:rPr>
          <w:sz w:val="22"/>
          <w:szCs w:val="22"/>
        </w:rPr>
        <w:t>aplicação</w:t>
      </w:r>
      <w:r>
        <w:rPr>
          <w:color w:val="000000"/>
          <w:sz w:val="22"/>
          <w:szCs w:val="22"/>
        </w:rPr>
        <w:t xml:space="preserve"> das sanções serão considerados (</w:t>
      </w:r>
      <w:r>
        <w:fldChar w:fldCharType="begin"/>
      </w:r>
      <w:r>
        <w:rPr>
          <w:rStyle w:val="54"/>
          <w:sz w:val="22"/>
          <w:szCs w:val="22"/>
        </w:rPr>
        <w:instrText xml:space="preserve"> HYPERLINK "https://www.planalto.gov.br/ccivil_03/_ato2019-2022/2021/lei/l14133.htm" \l "art156"</w:instrText>
      </w:r>
      <w:r>
        <w:rPr>
          <w:rStyle w:val="54"/>
          <w:sz w:val="22"/>
          <w:szCs w:val="22"/>
        </w:rPr>
        <w:fldChar w:fldCharType="separate"/>
      </w:r>
      <w:r>
        <w:rPr>
          <w:rStyle w:val="54"/>
          <w:sz w:val="22"/>
          <w:szCs w:val="22"/>
        </w:rPr>
        <w:t>art. 156, § 1º, da Lei Federal nº 14.133, de 2021</w:t>
      </w:r>
      <w:r>
        <w:rPr>
          <w:rStyle w:val="54"/>
          <w:sz w:val="22"/>
          <w:szCs w:val="22"/>
        </w:rPr>
        <w:fldChar w:fldCharType="end"/>
      </w:r>
      <w:r>
        <w:rPr>
          <w:color w:val="000000"/>
          <w:sz w:val="22"/>
          <w:szCs w:val="22"/>
        </w:rPr>
        <w:t>):</w:t>
      </w:r>
    </w:p>
    <w:p>
      <w:pPr>
        <w:pStyle w:val="3"/>
        <w:numPr>
          <w:ilvl w:val="2"/>
          <w:numId w:val="17"/>
        </w:numPr>
        <w:tabs>
          <w:tab w:val="left" w:pos="1134"/>
        </w:tabs>
        <w:spacing w:before="120" w:beforeAutospacing="0" w:after="0" w:afterAutospacing="0"/>
        <w:jc w:val="both"/>
        <w:textAlignment w:val="baseline"/>
        <w:rPr>
          <w:rFonts w:ascii="Times New Roman" w:hAnsi="Times New Roman"/>
          <w:sz w:val="22"/>
          <w:szCs w:val="22"/>
        </w:rPr>
      </w:pPr>
      <w:r>
        <w:rPr>
          <w:color w:val="000000"/>
          <w:sz w:val="22"/>
          <w:szCs w:val="22"/>
        </w:rPr>
        <w:t>a natureza e a gravidade da infração cometida;</w:t>
      </w:r>
    </w:p>
    <w:p>
      <w:pPr>
        <w:pStyle w:val="3"/>
        <w:numPr>
          <w:ilvl w:val="2"/>
          <w:numId w:val="17"/>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as peculiaridades do caso concreto;</w:t>
      </w:r>
    </w:p>
    <w:p>
      <w:pPr>
        <w:pStyle w:val="3"/>
        <w:numPr>
          <w:ilvl w:val="2"/>
          <w:numId w:val="17"/>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as circunstâncias agravantes ou atenuantes;</w:t>
      </w:r>
    </w:p>
    <w:p>
      <w:pPr>
        <w:pStyle w:val="3"/>
        <w:numPr>
          <w:ilvl w:val="2"/>
          <w:numId w:val="17"/>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os danos que dela provierem para a Administração Pública;</w:t>
      </w:r>
    </w:p>
    <w:p>
      <w:pPr>
        <w:pStyle w:val="3"/>
        <w:numPr>
          <w:ilvl w:val="2"/>
          <w:numId w:val="17"/>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implantação ou o aperfeiçoamento de programa de integridade, conforme normas e orientações dos órgãos de controle.</w:t>
      </w:r>
    </w:p>
    <w:p>
      <w:pPr>
        <w:pStyle w:val="28"/>
        <w:numPr>
          <w:ilvl w:val="1"/>
          <w:numId w:val="17"/>
        </w:numPr>
        <w:tabs>
          <w:tab w:val="left" w:pos="993"/>
        </w:tabs>
        <w:spacing w:before="120" w:beforeAutospacing="0" w:after="0" w:afterAutospacing="0"/>
        <w:ind w:left="0" w:firstLine="567"/>
        <w:jc w:val="both"/>
      </w:pPr>
      <w:r>
        <w:rPr>
          <w:sz w:val="22"/>
          <w:szCs w:val="22"/>
        </w:rPr>
        <w:t>As sanções de advertência (</w:t>
      </w:r>
      <w:r>
        <w:fldChar w:fldCharType="begin"/>
      </w:r>
      <w:r>
        <w:rPr>
          <w:rStyle w:val="54"/>
          <w:sz w:val="22"/>
          <w:szCs w:val="22"/>
        </w:rPr>
        <w:instrText xml:space="preserve"> HYPERLINK "http://www.planalto.gov.br/ccivil_03/_ato2019-2022/2021/lei/L14133.htm" \l "art156"</w:instrText>
      </w:r>
      <w:r>
        <w:rPr>
          <w:rStyle w:val="54"/>
          <w:sz w:val="22"/>
          <w:szCs w:val="22"/>
        </w:rPr>
        <w:fldChar w:fldCharType="separate"/>
      </w:r>
      <w:r>
        <w:rPr>
          <w:rStyle w:val="54"/>
          <w:sz w:val="22"/>
          <w:szCs w:val="22"/>
        </w:rPr>
        <w:t>art. 156, I, da Lei Federal nº 14.133, de 2021</w:t>
      </w:r>
      <w:r>
        <w:rPr>
          <w:rStyle w:val="54"/>
          <w:sz w:val="22"/>
          <w:szCs w:val="22"/>
        </w:rPr>
        <w:fldChar w:fldCharType="end"/>
      </w:r>
      <w:r>
        <w:rPr>
          <w:sz w:val="22"/>
          <w:szCs w:val="22"/>
        </w:rPr>
        <w:t>), impedimento de licitar e contratar (</w:t>
      </w:r>
      <w:r>
        <w:fldChar w:fldCharType="begin"/>
      </w:r>
      <w:r>
        <w:rPr>
          <w:rStyle w:val="54"/>
          <w:sz w:val="22"/>
          <w:szCs w:val="22"/>
        </w:rPr>
        <w:instrText xml:space="preserve"> HYPERLINK "http://www.planalto.gov.br/ccivil_03/_ato2019-2022/2021/lei/L14133.htm" \l "art156"</w:instrText>
      </w:r>
      <w:r>
        <w:rPr>
          <w:rStyle w:val="54"/>
          <w:sz w:val="22"/>
          <w:szCs w:val="22"/>
        </w:rPr>
        <w:fldChar w:fldCharType="separate"/>
      </w:r>
      <w:r>
        <w:rPr>
          <w:rStyle w:val="54"/>
          <w:sz w:val="22"/>
          <w:szCs w:val="22"/>
        </w:rPr>
        <w:t>art. 156, III, da Lei Federal nº 14.133, de 2021</w:t>
      </w:r>
      <w:r>
        <w:rPr>
          <w:rStyle w:val="54"/>
          <w:sz w:val="22"/>
          <w:szCs w:val="22"/>
        </w:rPr>
        <w:fldChar w:fldCharType="end"/>
      </w:r>
      <w:r>
        <w:rPr>
          <w:sz w:val="22"/>
          <w:szCs w:val="22"/>
        </w:rPr>
        <w:t>) e declaração de inidoneidade para licitar ou contratar (</w:t>
      </w:r>
      <w:r>
        <w:fldChar w:fldCharType="begin"/>
      </w:r>
      <w:r>
        <w:rPr>
          <w:rStyle w:val="54"/>
          <w:sz w:val="22"/>
          <w:szCs w:val="22"/>
        </w:rPr>
        <w:instrText xml:space="preserve"> HYPERLINK "http://www.planalto.gov.br/ccivil_03/_ato2019-2022/2021/lei/L14133.htm" \l "art156"</w:instrText>
      </w:r>
      <w:r>
        <w:rPr>
          <w:rStyle w:val="54"/>
          <w:sz w:val="22"/>
          <w:szCs w:val="22"/>
        </w:rPr>
        <w:fldChar w:fldCharType="separate"/>
      </w:r>
      <w:r>
        <w:rPr>
          <w:rStyle w:val="54"/>
          <w:sz w:val="22"/>
          <w:szCs w:val="22"/>
        </w:rPr>
        <w:t>art. 156, IV, da Lei Federal nº 14.133, de 2021</w:t>
      </w:r>
      <w:r>
        <w:rPr>
          <w:rStyle w:val="54"/>
          <w:sz w:val="22"/>
          <w:szCs w:val="22"/>
        </w:rPr>
        <w:fldChar w:fldCharType="end"/>
      </w:r>
      <w:r>
        <w:rPr>
          <w:sz w:val="22"/>
          <w:szCs w:val="22"/>
        </w:rPr>
        <w:t>) poderão ser aplicadas, cumulativamente ou não, à penalidade de multa (</w:t>
      </w:r>
      <w:r>
        <w:fldChar w:fldCharType="begin"/>
      </w:r>
      <w:r>
        <w:rPr>
          <w:rStyle w:val="54"/>
          <w:sz w:val="22"/>
          <w:szCs w:val="22"/>
        </w:rPr>
        <w:instrText xml:space="preserve"> HYPERLINK "http://www.planalto.gov.br/ccivil_03/_ato2019-2022/2021/lei/L14133.htm" \l "art156"</w:instrText>
      </w:r>
      <w:r>
        <w:rPr>
          <w:rStyle w:val="54"/>
          <w:sz w:val="22"/>
          <w:szCs w:val="22"/>
        </w:rPr>
        <w:fldChar w:fldCharType="separate"/>
      </w:r>
      <w:r>
        <w:rPr>
          <w:rStyle w:val="54"/>
          <w:sz w:val="22"/>
          <w:szCs w:val="22"/>
        </w:rPr>
        <w:t>art. 156, II, da Lei Federal nº 14.133, de 2021</w:t>
      </w:r>
      <w:r>
        <w:rPr>
          <w:rStyle w:val="54"/>
          <w:sz w:val="22"/>
          <w:szCs w:val="22"/>
        </w:rPr>
        <w:fldChar w:fldCharType="end"/>
      </w:r>
      <w:r>
        <w:rPr>
          <w:sz w:val="22"/>
          <w:szCs w:val="22"/>
        </w:rPr>
        <w:t>).</w:t>
      </w:r>
    </w:p>
    <w:p>
      <w:pPr>
        <w:pStyle w:val="28"/>
        <w:numPr>
          <w:ilvl w:val="1"/>
          <w:numId w:val="17"/>
        </w:numPr>
        <w:tabs>
          <w:tab w:val="left" w:pos="993"/>
        </w:tabs>
        <w:spacing w:before="0" w:beforeAutospacing="0" w:after="0" w:afterAutospacing="0"/>
        <w:ind w:left="0" w:firstLine="567"/>
        <w:jc w:val="both"/>
      </w:pPr>
      <w:r>
        <w:rPr>
          <w:sz w:val="22"/>
          <w:szCs w:val="22"/>
        </w:rPr>
        <w:t xml:space="preserve">O processamento das penalidades seguirá os ditames da </w:t>
      </w:r>
      <w:r>
        <w:fldChar w:fldCharType="begin"/>
      </w:r>
      <w:r>
        <w:instrText xml:space="preserve"> HYPERLINK "https://www.planalto.gov.br/ccivil_03/_ato2019-2022/2021/lei/l14133.htm" \h </w:instrText>
      </w:r>
      <w:r>
        <w:fldChar w:fldCharType="separate"/>
      </w:r>
      <w:r>
        <w:rPr>
          <w:rStyle w:val="54"/>
          <w:sz w:val="22"/>
          <w:szCs w:val="22"/>
        </w:rPr>
        <w:t>Lei Federal nº 14.133, de 2021</w:t>
      </w:r>
      <w:r>
        <w:rPr>
          <w:rStyle w:val="54"/>
          <w:sz w:val="22"/>
          <w:szCs w:val="22"/>
        </w:rPr>
        <w:fldChar w:fldCharType="end"/>
      </w:r>
      <w:r>
        <w:rPr>
          <w:sz w:val="22"/>
          <w:szCs w:val="22"/>
        </w:rPr>
        <w:t>.</w:t>
      </w:r>
    </w:p>
    <w:p>
      <w:pPr>
        <w:pStyle w:val="28"/>
        <w:numPr>
          <w:ilvl w:val="1"/>
          <w:numId w:val="17"/>
        </w:numPr>
        <w:tabs>
          <w:tab w:val="left" w:pos="993"/>
        </w:tabs>
        <w:spacing w:before="0" w:beforeAutospacing="0" w:after="0" w:afterAutospacing="0"/>
        <w:ind w:left="0" w:firstLine="567"/>
        <w:jc w:val="both"/>
      </w:pPr>
      <w:r>
        <w:rPr>
          <w:sz w:val="22"/>
          <w:szCs w:val="22"/>
        </w:rPr>
        <w:t>A aplicação das sanções previstas neste Contrato não exclui, em hipótese alguma, a obrigação de reparação integral do dano causado ao Contratante (</w:t>
      </w:r>
      <w:r>
        <w:fldChar w:fldCharType="begin"/>
      </w:r>
      <w:r>
        <w:rPr>
          <w:rStyle w:val="54"/>
          <w:sz w:val="22"/>
          <w:szCs w:val="22"/>
        </w:rPr>
        <w:instrText xml:space="preserve"> HYPERLINK "http://www.planalto.gov.br/ccivil_03/_ato2019-2022/2021/lei/L14133.htm" \l "art156§9"</w:instrText>
      </w:r>
      <w:r>
        <w:rPr>
          <w:rStyle w:val="54"/>
          <w:sz w:val="22"/>
          <w:szCs w:val="22"/>
        </w:rPr>
        <w:fldChar w:fldCharType="separate"/>
      </w:r>
      <w:r>
        <w:rPr>
          <w:rStyle w:val="54"/>
          <w:sz w:val="22"/>
          <w:szCs w:val="22"/>
        </w:rPr>
        <w:t>art. 156, §9º, da Lei Federal nº 14.133, de 2021</w:t>
      </w:r>
      <w:r>
        <w:rPr>
          <w:rStyle w:val="54"/>
          <w:sz w:val="22"/>
          <w:szCs w:val="22"/>
        </w:rPr>
        <w:fldChar w:fldCharType="end"/>
      </w:r>
      <w:r>
        <w:rPr>
          <w:sz w:val="22"/>
          <w:szCs w:val="22"/>
        </w:rPr>
        <w:t>)</w:t>
      </w:r>
    </w:p>
    <w:p>
      <w:pPr>
        <w:pStyle w:val="28"/>
        <w:numPr>
          <w:ilvl w:val="1"/>
          <w:numId w:val="17"/>
        </w:numPr>
        <w:tabs>
          <w:tab w:val="left" w:pos="993"/>
        </w:tabs>
        <w:spacing w:before="0" w:beforeAutospacing="0" w:after="0" w:afterAutospacing="0"/>
        <w:ind w:left="0" w:firstLine="567"/>
        <w:jc w:val="both"/>
      </w:pPr>
      <w:r>
        <w:rPr>
          <w:sz w:val="22"/>
          <w:szCs w:val="22"/>
        </w:rPr>
        <w:t>Se a multa aplicada e as indenizações cabíveis forem superiores ao valor do pagamento eventualmente devido pelo Contratante à Contratada, além da perda desse valor, a diferença será cobrada judicialmente (</w:t>
      </w:r>
      <w:r>
        <w:fldChar w:fldCharType="begin"/>
      </w:r>
      <w:r>
        <w:rPr>
          <w:rStyle w:val="54"/>
          <w:sz w:val="22"/>
          <w:szCs w:val="22"/>
        </w:rPr>
        <w:instrText xml:space="preserve"> HYPERLINK "http://www.planalto.gov.br/ccivil_03/_ato2019-2022/2021/lei/L14133.htm" \l "art156§8"</w:instrText>
      </w:r>
      <w:r>
        <w:rPr>
          <w:rStyle w:val="54"/>
          <w:sz w:val="22"/>
          <w:szCs w:val="22"/>
        </w:rPr>
        <w:fldChar w:fldCharType="separate"/>
      </w:r>
      <w:r>
        <w:rPr>
          <w:rStyle w:val="54"/>
          <w:sz w:val="22"/>
          <w:szCs w:val="22"/>
        </w:rPr>
        <w:t>art. 156, §8º, da Lei Federal nº 14.133, de 2021</w:t>
      </w:r>
      <w:r>
        <w:rPr>
          <w:rStyle w:val="54"/>
          <w:sz w:val="22"/>
          <w:szCs w:val="22"/>
        </w:rPr>
        <w:fldChar w:fldCharType="end"/>
      </w:r>
      <w:r>
        <w:rPr>
          <w:sz w:val="22"/>
          <w:szCs w:val="22"/>
        </w:rPr>
        <w:t>).</w:t>
      </w:r>
    </w:p>
    <w:p>
      <w:pPr>
        <w:pStyle w:val="28"/>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Previamente ao encaminhamento à cobrança judicial, a multa poderá ser recolhida administrativamente no prazo máximo de 30 (trinta) dias úteis, a contar da data do recebimento da comunicação enviada pela autoridade competente.</w:t>
      </w:r>
      <w:bookmarkStart w:id="77" w:name="_Hlk78351618"/>
      <w:bookmarkEnd w:id="77"/>
    </w:p>
    <w:p>
      <w:pPr>
        <w:pStyle w:val="28"/>
        <w:numPr>
          <w:ilvl w:val="1"/>
          <w:numId w:val="17"/>
        </w:numPr>
        <w:tabs>
          <w:tab w:val="left" w:pos="993"/>
        </w:tabs>
        <w:spacing w:before="0" w:beforeAutospacing="0" w:after="0" w:afterAutospacing="0"/>
        <w:ind w:left="0" w:firstLine="567"/>
        <w:jc w:val="both"/>
      </w:pPr>
      <w:r>
        <w:rPr>
          <w:color w:val="000000"/>
          <w:sz w:val="22"/>
          <w:szCs w:val="22"/>
        </w:rPr>
        <w:t xml:space="preserve">As </w:t>
      </w:r>
      <w:r>
        <w:rPr>
          <w:sz w:val="22"/>
          <w:szCs w:val="22"/>
        </w:rPr>
        <w:t>sanções</w:t>
      </w:r>
      <w:r>
        <w:rPr>
          <w:color w:val="000000"/>
          <w:sz w:val="22"/>
          <w:szCs w:val="22"/>
        </w:rPr>
        <w:t xml:space="preserve"> serão registradas e publicadas no Cadastro Nacional de Empresas Inidôneas e </w:t>
      </w:r>
      <w:r>
        <w:rPr>
          <w:color w:val="000000" w:themeColor="text1"/>
          <w:sz w:val="22"/>
          <w:szCs w:val="22"/>
        </w:rPr>
        <w:t>Suspensas</w:t>
      </w:r>
      <w:r>
        <w:rPr>
          <w:color w:val="000000"/>
          <w:sz w:val="22"/>
          <w:szCs w:val="22"/>
        </w:rPr>
        <w:t xml:space="preserve"> (Ceis) e no Cadastro Nacional de Empresas Punidas (Cnep), no prazo máximo de 15 (quinze) dias úteis, contado do trânsito em julgado da aplicação da sanção, nos termos do </w:t>
      </w:r>
      <w:r>
        <w:fldChar w:fldCharType="begin"/>
      </w:r>
      <w:r>
        <w:rPr>
          <w:rStyle w:val="54"/>
          <w:sz w:val="22"/>
          <w:szCs w:val="22"/>
        </w:rPr>
        <w:instrText xml:space="preserve"> HYPERLINK "https://www.planalto.gov.br/ccivil_03/_ato2019-2022/2021/lei/l14133.htm" \l "art161"</w:instrText>
      </w:r>
      <w:r>
        <w:rPr>
          <w:rStyle w:val="54"/>
          <w:sz w:val="22"/>
          <w:szCs w:val="22"/>
        </w:rPr>
        <w:fldChar w:fldCharType="separate"/>
      </w:r>
      <w:r>
        <w:rPr>
          <w:rStyle w:val="54"/>
          <w:sz w:val="22"/>
          <w:szCs w:val="22"/>
        </w:rPr>
        <w:t>art. 161 da Lei Federal nº 14.133, de 2021</w:t>
      </w:r>
      <w:r>
        <w:rPr>
          <w:rStyle w:val="54"/>
          <w:sz w:val="22"/>
          <w:szCs w:val="22"/>
        </w:rPr>
        <w:fldChar w:fldCharType="end"/>
      </w:r>
      <w:r>
        <w:rPr>
          <w:color w:val="000000"/>
          <w:sz w:val="22"/>
          <w:szCs w:val="22"/>
        </w:rPr>
        <w:t>.</w:t>
      </w:r>
    </w:p>
    <w:p>
      <w:pPr>
        <w:pStyle w:val="28"/>
        <w:numPr>
          <w:ilvl w:val="1"/>
          <w:numId w:val="17"/>
        </w:numPr>
        <w:tabs>
          <w:tab w:val="left" w:pos="993"/>
        </w:tabs>
        <w:spacing w:before="0" w:beforeAutospacing="0" w:after="0" w:afterAutospacing="0"/>
        <w:ind w:left="0" w:firstLine="567"/>
        <w:jc w:val="both"/>
      </w:pPr>
      <w:r>
        <w:rPr>
          <w:sz w:val="22"/>
          <w:szCs w:val="22"/>
        </w:rPr>
        <w:t xml:space="preserve">Os atos previstos como infrações administrativas na </w:t>
      </w:r>
      <w:r>
        <w:fldChar w:fldCharType="begin"/>
      </w:r>
      <w:r>
        <w:instrText xml:space="preserve"> HYPERLINK "http://www.planalto.gov.br/ccivil_03/_ato2019-2022/2021/lei/L14133.htm" \h </w:instrText>
      </w:r>
      <w:r>
        <w:fldChar w:fldCharType="separate"/>
      </w:r>
      <w:r>
        <w:rPr>
          <w:rStyle w:val="54"/>
          <w:sz w:val="22"/>
          <w:szCs w:val="22"/>
        </w:rPr>
        <w:t>Lei Federal nº 14.133, de 2021</w:t>
      </w:r>
      <w:r>
        <w:rPr>
          <w:rStyle w:val="54"/>
          <w:sz w:val="22"/>
          <w:szCs w:val="22"/>
        </w:rPr>
        <w:fldChar w:fldCharType="end"/>
      </w:r>
      <w:r>
        <w:rPr>
          <w:sz w:val="22"/>
          <w:szCs w:val="22"/>
        </w:rPr>
        <w:t xml:space="preserve">, ou em outras leis de licitações e contratos da Administração Pública que também sejam tipificados como atos lesivos na </w:t>
      </w:r>
      <w:r>
        <w:fldChar w:fldCharType="begin"/>
      </w:r>
      <w:r>
        <w:instrText xml:space="preserve"> HYPERLINK "https://www.planalto.gov.br/ccivil_03/_ato2011-2014/2013/lei/l12846.htm" \h </w:instrText>
      </w:r>
      <w:r>
        <w:fldChar w:fldCharType="separate"/>
      </w:r>
      <w:r>
        <w:rPr>
          <w:rStyle w:val="54"/>
          <w:sz w:val="22"/>
          <w:szCs w:val="22"/>
        </w:rPr>
        <w:t>Lei Federal nº 12.846, de 2013</w:t>
      </w:r>
      <w:r>
        <w:rPr>
          <w:rStyle w:val="54"/>
          <w:sz w:val="22"/>
          <w:szCs w:val="22"/>
        </w:rPr>
        <w:fldChar w:fldCharType="end"/>
      </w:r>
      <w:r>
        <w:rPr>
          <w:sz w:val="22"/>
          <w:szCs w:val="22"/>
        </w:rPr>
        <w:t>, serão apurados e julgados conjuntamente, nos mesmos autos, observados o rito procedimental e autoridade competente definidos. (</w:t>
      </w:r>
      <w:r>
        <w:fldChar w:fldCharType="begin"/>
      </w:r>
      <w:r>
        <w:rPr>
          <w:rStyle w:val="54"/>
          <w:sz w:val="22"/>
          <w:szCs w:val="22"/>
        </w:rPr>
        <w:instrText xml:space="preserve"> HYPERLINK "http://www.planalto.gov.br/ccivil_03/_ato2019-2022/2021/lei/L14133.htm" \l "art159"</w:instrText>
      </w:r>
      <w:r>
        <w:rPr>
          <w:rStyle w:val="54"/>
          <w:sz w:val="22"/>
          <w:szCs w:val="22"/>
        </w:rPr>
        <w:fldChar w:fldCharType="separate"/>
      </w:r>
      <w:r>
        <w:rPr>
          <w:rStyle w:val="54"/>
          <w:sz w:val="22"/>
          <w:szCs w:val="22"/>
        </w:rPr>
        <w:t>art. 159 da Lei Federal nº 14.133, de 2021</w:t>
      </w:r>
      <w:r>
        <w:rPr>
          <w:rStyle w:val="54"/>
          <w:sz w:val="22"/>
          <w:szCs w:val="22"/>
        </w:rPr>
        <w:fldChar w:fldCharType="end"/>
      </w:r>
      <w:r>
        <w:rPr>
          <w:sz w:val="22"/>
          <w:szCs w:val="22"/>
        </w:rPr>
        <w:t>).</w:t>
      </w:r>
    </w:p>
    <w:p>
      <w:pPr>
        <w:pStyle w:val="28"/>
        <w:numPr>
          <w:ilvl w:val="1"/>
          <w:numId w:val="17"/>
        </w:numPr>
        <w:tabs>
          <w:tab w:val="left" w:pos="993"/>
        </w:tabs>
        <w:spacing w:before="0" w:beforeAutospacing="0" w:after="0" w:afterAutospacing="0"/>
        <w:ind w:left="0" w:firstLine="567"/>
        <w:jc w:val="both"/>
      </w:pPr>
      <w:r>
        <w:rPr>
          <w:sz w:val="22"/>
          <w:szCs w:val="22"/>
        </w:rPr>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contratada do mesmo ramo com relação de coligação ou controle, de fato ou de direito, com a Contratada, observados, em todos os casos, o contraditório, a ampla defesa e a obrigatoriedade de análise jurídica prévia. (</w:t>
      </w:r>
      <w:r>
        <w:fldChar w:fldCharType="begin"/>
      </w:r>
      <w:r>
        <w:rPr>
          <w:rStyle w:val="54"/>
          <w:sz w:val="22"/>
          <w:szCs w:val="22"/>
        </w:rPr>
        <w:instrText xml:space="preserve"> HYPERLINK "http://www.planalto.gov.br/ccivil_03/_ato2019-2022/2021/lei/L14133.htm" \l "art160"</w:instrText>
      </w:r>
      <w:r>
        <w:rPr>
          <w:rStyle w:val="54"/>
          <w:sz w:val="22"/>
          <w:szCs w:val="22"/>
        </w:rPr>
        <w:fldChar w:fldCharType="separate"/>
      </w:r>
      <w:r>
        <w:rPr>
          <w:rStyle w:val="54"/>
          <w:sz w:val="22"/>
          <w:szCs w:val="22"/>
        </w:rPr>
        <w:t>art. 160, da Lei Federal nº 14.133, de 2021</w:t>
      </w:r>
      <w:r>
        <w:rPr>
          <w:rStyle w:val="54"/>
          <w:sz w:val="22"/>
          <w:szCs w:val="22"/>
        </w:rPr>
        <w:fldChar w:fldCharType="end"/>
      </w:r>
      <w:r>
        <w:rPr>
          <w:sz w:val="22"/>
          <w:szCs w:val="22"/>
        </w:rPr>
        <w:t>)</w:t>
      </w:r>
    </w:p>
    <w:p>
      <w:pPr>
        <w:pStyle w:val="28"/>
        <w:numPr>
          <w:ilvl w:val="1"/>
          <w:numId w:val="17"/>
        </w:numPr>
        <w:tabs>
          <w:tab w:val="left" w:pos="993"/>
        </w:tabs>
        <w:spacing w:before="0" w:beforeAutospacing="0" w:after="0" w:afterAutospacing="0"/>
        <w:ind w:left="0" w:firstLine="567"/>
        <w:jc w:val="both"/>
      </w:pPr>
      <w:r>
        <w:rPr>
          <w:sz w:val="22"/>
          <w:szCs w:val="22"/>
        </w:rPr>
        <w:t xml:space="preserve">As sanções de impedimento de licitar e contratar e declaração de inidoneidade para licitar ou contratar são passíveis de reabilitação na forma do </w:t>
      </w:r>
      <w:r>
        <w:fldChar w:fldCharType="begin"/>
      </w:r>
      <w:r>
        <w:rPr>
          <w:rStyle w:val="54"/>
          <w:sz w:val="22"/>
          <w:szCs w:val="22"/>
        </w:rPr>
        <w:instrText xml:space="preserve"> HYPERLINK "http://www.planalto.gov.br/ccivil_03/_ato2019-2022/2021/lei/L14133.htm" \l "art163"</w:instrText>
      </w:r>
      <w:r>
        <w:rPr>
          <w:rStyle w:val="54"/>
          <w:sz w:val="22"/>
          <w:szCs w:val="22"/>
        </w:rPr>
        <w:fldChar w:fldCharType="separate"/>
      </w:r>
      <w:r>
        <w:rPr>
          <w:rStyle w:val="54"/>
          <w:sz w:val="22"/>
          <w:szCs w:val="22"/>
        </w:rPr>
        <w:t>art. 163 da Lei Federal nº 14.133, de 2021.</w:t>
      </w:r>
      <w:r>
        <w:rPr>
          <w:rStyle w:val="54"/>
          <w:sz w:val="22"/>
          <w:szCs w:val="22"/>
        </w:rPr>
        <w:fldChar w:fldCharType="end"/>
      </w:r>
    </w:p>
    <w:p>
      <w:pPr>
        <w:pStyle w:val="28"/>
        <w:numPr>
          <w:ilvl w:val="1"/>
          <w:numId w:val="17"/>
        </w:numPr>
        <w:tabs>
          <w:tab w:val="left" w:pos="993"/>
        </w:tabs>
        <w:spacing w:before="0" w:beforeAutospacing="0" w:after="0" w:afterAutospacing="0"/>
        <w:ind w:left="0" w:firstLine="567"/>
        <w:jc w:val="both"/>
      </w:pPr>
      <w:r>
        <w:rPr>
          <w:sz w:val="22"/>
          <w:szCs w:val="22"/>
        </w:rPr>
        <w:t xml:space="preserve">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na forma da </w:t>
      </w:r>
      <w:r>
        <w:fldChar w:fldCharType="begin"/>
      </w:r>
      <w:r>
        <w:instrText xml:space="preserve"> HYPERLINK "https://www.gov.br/compras/pt-br/acesso-a-informacao/legislacao/instrucoes-normativas/instrucao-normativa-seges-me-no-26-de-13-de-abril-de-2022" \h </w:instrText>
      </w:r>
      <w:r>
        <w:fldChar w:fldCharType="separate"/>
      </w:r>
      <w:r>
        <w:rPr>
          <w:rStyle w:val="54"/>
          <w:sz w:val="22"/>
          <w:szCs w:val="22"/>
        </w:rPr>
        <w:t>Instrução Normativa SEGES/ME nº 26, de 13 de abril de 2022</w:t>
      </w:r>
      <w:r>
        <w:rPr>
          <w:rStyle w:val="54"/>
          <w:sz w:val="22"/>
          <w:szCs w:val="22"/>
        </w:rPr>
        <w:fldChar w:fldCharType="end"/>
      </w:r>
      <w:r>
        <w:rPr>
          <w:sz w:val="22"/>
          <w:szCs w:val="22"/>
        </w:rPr>
        <w:t xml:space="preserve">. </w:t>
      </w:r>
    </w:p>
    <w:p>
      <w:pPr>
        <w:pStyle w:val="28"/>
        <w:numPr>
          <w:ilvl w:val="0"/>
          <w:numId w:val="17"/>
        </w:numPr>
        <w:pBdr>
          <w:bottom w:val="single" w:color="000000" w:themeColor="dark1" w:sz="4" w:space="1"/>
        </w:pBdr>
        <w:shd w:val="clear" w:color="auto" w:fill="BEBEBE" w:themeFill="background1" w:themeFillShade="BF"/>
        <w:spacing w:before="0" w:beforeAutospacing="0" w:after="0" w:afterAutospacing="0"/>
        <w:jc w:val="both"/>
      </w:pPr>
      <w:r>
        <w:rPr>
          <w:rStyle w:val="11"/>
          <w:color w:val="000000"/>
          <w:sz w:val="22"/>
          <w:szCs w:val="22"/>
        </w:rPr>
        <w:t xml:space="preserve">ALTERAÇÕES </w:t>
      </w:r>
      <w:r>
        <w:rPr>
          <w:rStyle w:val="11"/>
          <w:b w:val="0"/>
          <w:bCs w:val="0"/>
          <w:color w:val="000000"/>
          <w:sz w:val="22"/>
          <w:szCs w:val="22"/>
        </w:rPr>
        <w:t>(</w:t>
      </w:r>
      <w:r>
        <w:fldChar w:fldCharType="begin"/>
      </w:r>
      <w:r>
        <w:rPr>
          <w:rStyle w:val="54"/>
          <w:sz w:val="22"/>
          <w:szCs w:val="22"/>
        </w:rPr>
        <w:instrText xml:space="preserve"> HYPERLINK "http://www.planalto.gov.br/ccivil_03/_ato2019-2022/2021/lei/L14133.htm" \l "art124"</w:instrText>
      </w:r>
      <w:r>
        <w:rPr>
          <w:rStyle w:val="54"/>
          <w:sz w:val="22"/>
          <w:szCs w:val="22"/>
        </w:rPr>
        <w:fldChar w:fldCharType="separate"/>
      </w:r>
      <w:r>
        <w:rPr>
          <w:rStyle w:val="54"/>
          <w:sz w:val="22"/>
          <w:szCs w:val="22"/>
        </w:rPr>
        <w:t>arts. 124 a 136 da Lei Federal nº 14.133, de 2021</w:t>
      </w:r>
      <w:r>
        <w:rPr>
          <w:rStyle w:val="54"/>
          <w:sz w:val="22"/>
          <w:szCs w:val="22"/>
        </w:rPr>
        <w:fldChar w:fldCharType="end"/>
      </w:r>
      <w:r>
        <w:rPr>
          <w:rStyle w:val="11"/>
          <w:b w:val="0"/>
          <w:bCs w:val="0"/>
          <w:color w:val="000000"/>
          <w:sz w:val="22"/>
          <w:szCs w:val="22"/>
        </w:rPr>
        <w:t>)</w:t>
      </w:r>
    </w:p>
    <w:p>
      <w:pPr>
        <w:pStyle w:val="28"/>
        <w:numPr>
          <w:ilvl w:val="1"/>
          <w:numId w:val="17"/>
        </w:numPr>
        <w:tabs>
          <w:tab w:val="left" w:pos="993"/>
        </w:tabs>
        <w:spacing w:before="0" w:beforeAutospacing="0" w:after="0" w:afterAutospacing="0"/>
        <w:ind w:left="0" w:firstLine="567"/>
        <w:jc w:val="both"/>
      </w:pPr>
      <w:r>
        <w:rPr>
          <w:sz w:val="22"/>
          <w:szCs w:val="22"/>
        </w:rPr>
        <w:t xml:space="preserve">Eventuais alterações contratuais reger-se-ão pela disciplina dos </w:t>
      </w:r>
      <w:r>
        <w:fldChar w:fldCharType="begin"/>
      </w:r>
      <w:r>
        <w:rPr>
          <w:rStyle w:val="54"/>
          <w:sz w:val="22"/>
          <w:szCs w:val="22"/>
        </w:rPr>
        <w:instrText xml:space="preserve"> HYPERLINK "http://www.planalto.gov.br/ccivil_03/_ato2019-2022/2021/lei/L14133.htm" \l "art124"</w:instrText>
      </w:r>
      <w:r>
        <w:rPr>
          <w:rStyle w:val="54"/>
          <w:sz w:val="22"/>
          <w:szCs w:val="22"/>
        </w:rPr>
        <w:fldChar w:fldCharType="separate"/>
      </w:r>
      <w:r>
        <w:rPr>
          <w:rStyle w:val="54"/>
          <w:sz w:val="22"/>
          <w:szCs w:val="22"/>
        </w:rPr>
        <w:t>arts. 124 a 136 da Lei Federal nº 14.133, de 2021</w:t>
      </w:r>
      <w:r>
        <w:rPr>
          <w:rStyle w:val="54"/>
          <w:sz w:val="22"/>
          <w:szCs w:val="22"/>
        </w:rPr>
        <w:fldChar w:fldCharType="end"/>
      </w:r>
      <w:r>
        <w:rPr>
          <w:sz w:val="22"/>
          <w:szCs w:val="22"/>
        </w:rPr>
        <w:t>.</w:t>
      </w:r>
    </w:p>
    <w:p>
      <w:pPr>
        <w:pStyle w:val="28"/>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é obrigada a aceitar, nas mesmas condições contratuais, os acréscimos ou supressões que se fizerem necessários, até o limite de 25% (vinte e cinco por cento) do valor inicial atualizado do contrato.</w:t>
      </w:r>
    </w:p>
    <w:p>
      <w:pPr>
        <w:pStyle w:val="28"/>
        <w:numPr>
          <w:ilvl w:val="1"/>
          <w:numId w:val="17"/>
        </w:numPr>
        <w:tabs>
          <w:tab w:val="left" w:pos="993"/>
        </w:tabs>
        <w:spacing w:before="0" w:beforeAutospacing="0" w:after="0" w:afterAutospacing="0"/>
        <w:ind w:left="0" w:firstLine="567"/>
        <w:jc w:val="both"/>
      </w:pPr>
      <w:r>
        <w:rPr>
          <w:sz w:val="22"/>
          <w:szCs w:val="22"/>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r>
        <w:fldChar w:fldCharType="begin"/>
      </w:r>
      <w:r>
        <w:rPr>
          <w:rStyle w:val="54"/>
          <w:sz w:val="22"/>
          <w:szCs w:val="22"/>
        </w:rPr>
        <w:instrText xml:space="preserve"> HYPERLINK "http://www.planalto.gov.br/ccivil_03/_ato2019-2022/2021/lei/L14133.htm" \l "art132"</w:instrText>
      </w:r>
      <w:r>
        <w:rPr>
          <w:rStyle w:val="54"/>
          <w:sz w:val="22"/>
          <w:szCs w:val="22"/>
        </w:rPr>
        <w:fldChar w:fldCharType="separate"/>
      </w:r>
      <w:r>
        <w:rPr>
          <w:rStyle w:val="54"/>
          <w:sz w:val="22"/>
          <w:szCs w:val="22"/>
        </w:rPr>
        <w:t>art. 132 da Lei Federal nº 14.133, de 2021</w:t>
      </w:r>
      <w:r>
        <w:rPr>
          <w:rStyle w:val="54"/>
          <w:sz w:val="22"/>
          <w:szCs w:val="22"/>
        </w:rPr>
        <w:fldChar w:fldCharType="end"/>
      </w:r>
      <w:r>
        <w:rPr>
          <w:sz w:val="22"/>
          <w:szCs w:val="22"/>
        </w:rPr>
        <w:t>).</w:t>
      </w:r>
    </w:p>
    <w:p>
      <w:pPr>
        <w:pStyle w:val="28"/>
        <w:numPr>
          <w:ilvl w:val="1"/>
          <w:numId w:val="17"/>
        </w:numPr>
        <w:tabs>
          <w:tab w:val="left" w:pos="993"/>
        </w:tabs>
        <w:spacing w:before="0" w:beforeAutospacing="0" w:after="0" w:afterAutospacing="0"/>
        <w:ind w:left="0" w:firstLine="567"/>
        <w:jc w:val="both"/>
      </w:pPr>
      <w:r>
        <w:rPr>
          <w:sz w:val="22"/>
          <w:szCs w:val="22"/>
        </w:rPr>
        <w:t xml:space="preserve">Registros que não caracterizam alteração do contrato podem ser realizados por simples apostila, dispensada a celebração de termo aditivo, na forma do </w:t>
      </w:r>
      <w:r>
        <w:fldChar w:fldCharType="begin"/>
      </w:r>
      <w:r>
        <w:rPr>
          <w:rStyle w:val="54"/>
          <w:sz w:val="22"/>
          <w:szCs w:val="22"/>
        </w:rPr>
        <w:instrText xml:space="preserve"> HYPERLINK "http://www.planalto.gov.br/ccivil_03/_ato2019-2022/2021/lei/L14133.htm" \l "art136"</w:instrText>
      </w:r>
      <w:r>
        <w:rPr>
          <w:rStyle w:val="54"/>
          <w:sz w:val="22"/>
          <w:szCs w:val="22"/>
        </w:rPr>
        <w:fldChar w:fldCharType="separate"/>
      </w:r>
      <w:r>
        <w:rPr>
          <w:rStyle w:val="54"/>
          <w:sz w:val="22"/>
          <w:szCs w:val="22"/>
        </w:rPr>
        <w:t>art. 136 da Lei Federal nº 14.133, de 2021</w:t>
      </w:r>
      <w:r>
        <w:rPr>
          <w:rStyle w:val="54"/>
          <w:sz w:val="22"/>
          <w:szCs w:val="22"/>
        </w:rPr>
        <w:fldChar w:fldCharType="end"/>
      </w:r>
      <w:r>
        <w:rPr>
          <w:sz w:val="22"/>
          <w:szCs w:val="22"/>
        </w:rPr>
        <w:t>.</w:t>
      </w:r>
    </w:p>
    <w:p>
      <w:pPr>
        <w:pStyle w:val="28"/>
        <w:numPr>
          <w:ilvl w:val="0"/>
          <w:numId w:val="17"/>
        </w:numPr>
        <w:pBdr>
          <w:bottom w:val="single" w:color="000000" w:themeColor="dark1" w:sz="4" w:space="1"/>
        </w:pBdr>
        <w:shd w:val="clear" w:color="auto" w:fill="BEBEBE" w:themeFill="background1" w:themeFillShade="BF"/>
        <w:spacing w:before="0" w:beforeAutospacing="0" w:after="0" w:afterAutospacing="0"/>
        <w:jc w:val="both"/>
      </w:pPr>
      <w:r>
        <w:rPr>
          <w:rStyle w:val="11"/>
          <w:color w:val="000000"/>
          <w:sz w:val="22"/>
          <w:szCs w:val="22"/>
        </w:rPr>
        <w:t>DA EXTINÇÃO CONTRATUAL</w:t>
      </w:r>
      <w:r>
        <w:rPr>
          <w:sz w:val="22"/>
          <w:szCs w:val="22"/>
        </w:rPr>
        <w:t xml:space="preserve"> (</w:t>
      </w:r>
      <w:r>
        <w:fldChar w:fldCharType="begin"/>
      </w:r>
      <w:r>
        <w:rPr>
          <w:rStyle w:val="54"/>
          <w:sz w:val="22"/>
          <w:szCs w:val="22"/>
        </w:rPr>
        <w:instrText xml:space="preserve"> HYPERLINK "http://www.planalto.gov.br/ccivil_03/_ato2019-2022/2021/lei/L14133.htm" \l "art92"</w:instrText>
      </w:r>
      <w:r>
        <w:rPr>
          <w:rStyle w:val="54"/>
          <w:sz w:val="22"/>
          <w:szCs w:val="22"/>
        </w:rPr>
        <w:fldChar w:fldCharType="separate"/>
      </w:r>
      <w:r>
        <w:rPr>
          <w:rStyle w:val="54"/>
          <w:sz w:val="22"/>
          <w:szCs w:val="22"/>
        </w:rPr>
        <w:t>art. 92, XIX</w:t>
      </w:r>
      <w:r>
        <w:rPr>
          <w:rStyle w:val="54"/>
          <w:sz w:val="22"/>
          <w:szCs w:val="22"/>
        </w:rPr>
        <w:fldChar w:fldCharType="end"/>
      </w:r>
      <w:r>
        <w:rPr>
          <w:rStyle w:val="54"/>
          <w:sz w:val="22"/>
          <w:szCs w:val="22"/>
        </w:rPr>
        <w:t>, da Lei Federal nº 14.133, de 2021</w:t>
      </w:r>
      <w:r>
        <w:rPr>
          <w:sz w:val="22"/>
          <w:szCs w:val="22"/>
        </w:rPr>
        <w:t>)</w:t>
      </w:r>
    </w:p>
    <w:p>
      <w:pPr>
        <w:pStyle w:val="28"/>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O contrato será extinto quando cumpridas as obrigações de ambas as partes, ainda que isso ocorra antes do prazo estipulado para tanto.</w:t>
      </w:r>
    </w:p>
    <w:p>
      <w:pPr>
        <w:pStyle w:val="28"/>
        <w:numPr>
          <w:ilvl w:val="1"/>
          <w:numId w:val="17"/>
        </w:numPr>
        <w:tabs>
          <w:tab w:val="left" w:pos="993"/>
        </w:tabs>
        <w:spacing w:before="0" w:beforeAutospacing="0" w:after="0" w:afterAutospacing="0"/>
        <w:ind w:left="0" w:firstLine="567"/>
        <w:jc w:val="both"/>
      </w:pPr>
      <w:r>
        <w:rPr>
          <w:sz w:val="22"/>
          <w:szCs w:val="22"/>
        </w:rPr>
        <w:t>Se as obrigações não forem cumpridas no prazo estipulado, a vigência ficará prorrogada automaticamente até a conclusão do objeto, caso em que deverá a Administração providenciar a readequação do cronograma fixado para o contrato. (</w:t>
      </w:r>
      <w:r>
        <w:fldChar w:fldCharType="begin"/>
      </w:r>
      <w:r>
        <w:rPr>
          <w:rStyle w:val="54"/>
          <w:sz w:val="22"/>
          <w:szCs w:val="22"/>
        </w:rPr>
        <w:instrText xml:space="preserve"> HYPERLINK "http://www.planalto.gov.br/ccivil_03/_ato2019-2022/2021/lei/L14133.htm" \l "art163"</w:instrText>
      </w:r>
      <w:r>
        <w:rPr>
          <w:rStyle w:val="54"/>
          <w:sz w:val="22"/>
          <w:szCs w:val="22"/>
        </w:rPr>
        <w:fldChar w:fldCharType="separate"/>
      </w:r>
      <w:r>
        <w:rPr>
          <w:rStyle w:val="54"/>
          <w:sz w:val="22"/>
          <w:szCs w:val="22"/>
        </w:rPr>
        <w:t>art. 111 da Lei Federal nº 14.133, de 2021</w:t>
      </w:r>
      <w:r>
        <w:rPr>
          <w:rStyle w:val="54"/>
          <w:sz w:val="22"/>
          <w:szCs w:val="22"/>
        </w:rPr>
        <w:fldChar w:fldCharType="end"/>
      </w:r>
      <w:r>
        <w:rPr>
          <w:sz w:val="22"/>
          <w:szCs w:val="22"/>
        </w:rPr>
        <w:t>)</w:t>
      </w:r>
    </w:p>
    <w:p>
      <w:pPr>
        <w:pStyle w:val="28"/>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Quando a não conclusão do contrato referida no item anterior decorrer de culpa da Contratada:</w:t>
      </w:r>
    </w:p>
    <w:p>
      <w:pPr>
        <w:pStyle w:val="28"/>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ficará ele constituído em mora, sendo-lhe aplicáveis as respectivas sanções administrativas; e</w:t>
      </w:r>
    </w:p>
    <w:p>
      <w:pPr>
        <w:pStyle w:val="28"/>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poderá a Administração optar pela extinção do contrato e, nesse caso, adotará as medidas admitidas em lei para a continuidade da execução contratual.</w:t>
      </w:r>
    </w:p>
    <w:p>
      <w:pPr>
        <w:pStyle w:val="28"/>
        <w:numPr>
          <w:ilvl w:val="1"/>
          <w:numId w:val="17"/>
        </w:numPr>
        <w:tabs>
          <w:tab w:val="left" w:pos="993"/>
        </w:tabs>
        <w:spacing w:before="0" w:beforeAutospacing="0" w:after="0" w:afterAutospacing="0"/>
        <w:ind w:left="0" w:firstLine="567"/>
        <w:jc w:val="both"/>
      </w:pPr>
      <w:r>
        <w:rPr>
          <w:sz w:val="22"/>
          <w:szCs w:val="22"/>
        </w:rPr>
        <w:t xml:space="preserve">O contrato poderá ser extinto antes de cumpridas as obrigações nele estipuladas, ou antes do prazo nele fixado, por algum dos motivos previstos no </w:t>
      </w:r>
      <w:r>
        <w:fldChar w:fldCharType="begin"/>
      </w:r>
      <w:r>
        <w:rPr>
          <w:rStyle w:val="54"/>
          <w:sz w:val="22"/>
          <w:szCs w:val="22"/>
        </w:rPr>
        <w:instrText xml:space="preserve"> HYPERLINK "http://www.planalto.gov.br/ccivil_03/_ato2019-2022/2021/lei/L14133.htm" \l "art137"</w:instrText>
      </w:r>
      <w:r>
        <w:rPr>
          <w:rStyle w:val="54"/>
          <w:sz w:val="22"/>
          <w:szCs w:val="22"/>
        </w:rPr>
        <w:fldChar w:fldCharType="separate"/>
      </w:r>
      <w:r>
        <w:rPr>
          <w:rStyle w:val="54"/>
          <w:sz w:val="22"/>
          <w:szCs w:val="22"/>
        </w:rPr>
        <w:t>artigo 137 da Lei Federal nº 14.133/21</w:t>
      </w:r>
      <w:r>
        <w:rPr>
          <w:rStyle w:val="54"/>
          <w:sz w:val="22"/>
          <w:szCs w:val="22"/>
        </w:rPr>
        <w:fldChar w:fldCharType="end"/>
      </w:r>
      <w:r>
        <w:rPr>
          <w:sz w:val="22"/>
          <w:szCs w:val="22"/>
        </w:rPr>
        <w:t xml:space="preserve">, bem como amigavelmente, </w:t>
      </w:r>
      <w:r>
        <w:rPr>
          <w:color w:val="000000" w:themeColor="text1"/>
          <w:sz w:val="22"/>
          <w:szCs w:val="22"/>
        </w:rPr>
        <w:t xml:space="preserve">assegurados o contraditório e a ampla defesa, </w:t>
      </w:r>
      <w:r>
        <w:rPr>
          <w:sz w:val="22"/>
          <w:szCs w:val="22"/>
        </w:rPr>
        <w:t xml:space="preserve">aplicando-se também os </w:t>
      </w:r>
      <w:r>
        <w:fldChar w:fldCharType="begin"/>
      </w:r>
      <w:r>
        <w:rPr>
          <w:rStyle w:val="54"/>
          <w:sz w:val="22"/>
          <w:szCs w:val="22"/>
        </w:rPr>
        <w:instrText xml:space="preserve"> HYPERLINK "http://www.planalto.gov.br/ccivil_03/_ato2019-2022/2021/lei/L14133.htm" \l "art138"</w:instrText>
      </w:r>
      <w:r>
        <w:rPr>
          <w:rStyle w:val="54"/>
          <w:sz w:val="22"/>
          <w:szCs w:val="22"/>
        </w:rPr>
        <w:fldChar w:fldCharType="separate"/>
      </w:r>
      <w:r>
        <w:rPr>
          <w:rStyle w:val="54"/>
          <w:sz w:val="22"/>
          <w:szCs w:val="22"/>
        </w:rPr>
        <w:t>artigos 138 e 139</w:t>
      </w:r>
      <w:r>
        <w:rPr>
          <w:rStyle w:val="54"/>
          <w:sz w:val="22"/>
          <w:szCs w:val="22"/>
        </w:rPr>
        <w:fldChar w:fldCharType="end"/>
      </w:r>
      <w:r>
        <w:rPr>
          <w:rStyle w:val="54"/>
          <w:sz w:val="22"/>
          <w:szCs w:val="22"/>
        </w:rPr>
        <w:t xml:space="preserve"> da Lei Federal nº 14.133, de 2021</w:t>
      </w:r>
      <w:r>
        <w:rPr>
          <w:sz w:val="22"/>
          <w:szCs w:val="22"/>
        </w:rPr>
        <w:t>.</w:t>
      </w:r>
    </w:p>
    <w:p>
      <w:pPr>
        <w:pStyle w:val="28"/>
        <w:numPr>
          <w:ilvl w:val="1"/>
          <w:numId w:val="17"/>
        </w:numPr>
        <w:tabs>
          <w:tab w:val="left" w:pos="993"/>
        </w:tabs>
        <w:spacing w:before="0" w:beforeAutospacing="0" w:after="0" w:afterAutospacing="0"/>
        <w:ind w:left="0" w:firstLine="567"/>
        <w:jc w:val="both"/>
      </w:pPr>
      <w:r>
        <w:rPr>
          <w:sz w:val="22"/>
          <w:szCs w:val="22"/>
        </w:rPr>
        <w:t>A alteração social ou a modificação da finalidade ou da estrutura da contratada não ensejará a extinção se não restringir sua capacidade de concluir o contrato. (</w:t>
      </w:r>
      <w:r>
        <w:fldChar w:fldCharType="begin"/>
      </w:r>
      <w:r>
        <w:rPr>
          <w:rStyle w:val="54"/>
          <w:sz w:val="22"/>
          <w:szCs w:val="22"/>
        </w:rPr>
        <w:instrText xml:space="preserve"> HYPERLINK "http://www.planalto.gov.br/ccivil_03/_ato2019-2022/2021/lei/L14133.htm" \l "art137"</w:instrText>
      </w:r>
      <w:r>
        <w:rPr>
          <w:rStyle w:val="54"/>
          <w:sz w:val="22"/>
          <w:szCs w:val="22"/>
        </w:rPr>
        <w:fldChar w:fldCharType="separate"/>
      </w:r>
      <w:r>
        <w:rPr>
          <w:rStyle w:val="54"/>
          <w:sz w:val="22"/>
          <w:szCs w:val="22"/>
        </w:rPr>
        <w:t>art. 137, III, da Lei Federal nº 14.133, de 2021</w:t>
      </w:r>
      <w:r>
        <w:rPr>
          <w:rStyle w:val="54"/>
          <w:sz w:val="22"/>
          <w:szCs w:val="22"/>
        </w:rPr>
        <w:fldChar w:fldCharType="end"/>
      </w:r>
      <w:r>
        <w:rPr>
          <w:sz w:val="22"/>
          <w:szCs w:val="22"/>
        </w:rPr>
        <w:t>)</w:t>
      </w:r>
    </w:p>
    <w:p>
      <w:pPr>
        <w:pStyle w:val="28"/>
        <w:numPr>
          <w:ilvl w:val="1"/>
          <w:numId w:val="17"/>
        </w:numPr>
        <w:tabs>
          <w:tab w:val="left" w:pos="993"/>
        </w:tabs>
        <w:spacing w:before="0" w:beforeAutospacing="0" w:after="0" w:afterAutospacing="0"/>
        <w:ind w:left="0" w:firstLine="567"/>
        <w:jc w:val="both"/>
        <w:rPr>
          <w:rFonts w:ascii="Times New Roman" w:hAnsi="Times New Roman"/>
          <w:sz w:val="22"/>
          <w:szCs w:val="22"/>
        </w:rPr>
      </w:pPr>
      <w:r>
        <w:rPr>
          <w:color w:val="000000" w:themeColor="text1"/>
          <w:sz w:val="22"/>
          <w:szCs w:val="22"/>
        </w:rPr>
        <w:t xml:space="preserve">Se a operação </w:t>
      </w:r>
      <w:r>
        <w:rPr>
          <w:sz w:val="22"/>
          <w:szCs w:val="22"/>
        </w:rPr>
        <w:t>implicar mudança da pessoa jurídica contratada, deverá ser formalizado termo aditivo para alteração subjetiva.</w:t>
      </w:r>
    </w:p>
    <w:p>
      <w:pPr>
        <w:pStyle w:val="28"/>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O termo de extinção, sempre que possível, será precedido:</w:t>
      </w:r>
    </w:p>
    <w:p>
      <w:pPr>
        <w:pStyle w:val="28"/>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Balanço dos eventos contratuais já cumpridos ou parcialmente cumpridos;</w:t>
      </w:r>
    </w:p>
    <w:p>
      <w:pPr>
        <w:pStyle w:val="28"/>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Relação dos pagamentos já efetuados e ainda devidos;</w:t>
      </w:r>
    </w:p>
    <w:p>
      <w:pPr>
        <w:pStyle w:val="28"/>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Indenizações e multas.</w:t>
      </w:r>
    </w:p>
    <w:p>
      <w:pPr>
        <w:pStyle w:val="28"/>
        <w:numPr>
          <w:ilvl w:val="1"/>
          <w:numId w:val="17"/>
        </w:numPr>
        <w:tabs>
          <w:tab w:val="left" w:pos="993"/>
        </w:tabs>
        <w:spacing w:before="0" w:beforeAutospacing="0" w:after="0" w:afterAutospacing="0"/>
        <w:ind w:left="0" w:firstLine="567"/>
        <w:jc w:val="both"/>
      </w:pPr>
      <w:r>
        <w:rPr>
          <w:sz w:val="22"/>
          <w:szCs w:val="22"/>
        </w:rPr>
        <w:t>A extinção do contrato não configura óbice para o reconhecimento do desequilíbrio econômico-financeiro, hipótese em que será concedida indenização por meio de termo indenizatório (</w:t>
      </w:r>
      <w:r>
        <w:fldChar w:fldCharType="begin"/>
      </w:r>
      <w:r>
        <w:rPr>
          <w:rStyle w:val="54"/>
          <w:sz w:val="22"/>
          <w:szCs w:val="22"/>
        </w:rPr>
        <w:instrText xml:space="preserve"> HYPERLINK "http://www.planalto.gov.br/ccivil_03/_ato2019-2022/2021/lei/L14133.htm" \l "art131"</w:instrText>
      </w:r>
      <w:r>
        <w:rPr>
          <w:rStyle w:val="54"/>
          <w:sz w:val="22"/>
          <w:szCs w:val="22"/>
        </w:rPr>
        <w:fldChar w:fldCharType="separate"/>
      </w:r>
      <w:r>
        <w:rPr>
          <w:rStyle w:val="54"/>
          <w:sz w:val="22"/>
          <w:szCs w:val="22"/>
        </w:rPr>
        <w:t xml:space="preserve">art. 131, </w:t>
      </w:r>
      <w:r>
        <w:rPr>
          <w:rStyle w:val="54"/>
          <w:sz w:val="22"/>
          <w:szCs w:val="22"/>
        </w:rPr>
        <w:fldChar w:fldCharType="end"/>
      </w:r>
      <w:r>
        <w:rPr>
          <w:rStyle w:val="54"/>
          <w:i/>
          <w:iCs/>
          <w:sz w:val="22"/>
          <w:szCs w:val="22"/>
        </w:rPr>
        <w:t xml:space="preserve">caput, </w:t>
      </w:r>
      <w:r>
        <w:rPr>
          <w:rStyle w:val="54"/>
          <w:sz w:val="22"/>
          <w:szCs w:val="22"/>
        </w:rPr>
        <w:t>da Lei Federal nº 14.133, de 2021).</w:t>
      </w:r>
      <w:r>
        <w:rPr>
          <w:sz w:val="22"/>
          <w:szCs w:val="22"/>
        </w:rPr>
        <w:t xml:space="preserve"> </w:t>
      </w:r>
    </w:p>
    <w:p>
      <w:pPr>
        <w:pStyle w:val="28"/>
        <w:numPr>
          <w:ilvl w:val="1"/>
          <w:numId w:val="17"/>
        </w:numPr>
        <w:tabs>
          <w:tab w:val="left" w:pos="993"/>
        </w:tabs>
        <w:spacing w:before="0" w:beforeAutospacing="0" w:after="0" w:afterAutospacing="0"/>
        <w:ind w:left="0" w:firstLine="567"/>
        <w:jc w:val="both"/>
      </w:pPr>
      <w:r>
        <w:rPr>
          <w:sz w:val="22"/>
          <w:szCs w:val="22"/>
        </w:rPr>
        <w:t>O contrato poderá ser extinto caso se constate que a Contratada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w:t>
      </w:r>
      <w:r>
        <w:fldChar w:fldCharType="begin"/>
      </w:r>
      <w:r>
        <w:rPr>
          <w:rStyle w:val="54"/>
          <w:sz w:val="22"/>
          <w:szCs w:val="22"/>
        </w:rPr>
        <w:instrText xml:space="preserve"> HYPERLINK "http://www.planalto.gov.br/ccivil_03/_ato2019-2022/2021/lei/L14133.htm" \l "art14"</w:instrText>
      </w:r>
      <w:r>
        <w:rPr>
          <w:rStyle w:val="54"/>
          <w:sz w:val="22"/>
          <w:szCs w:val="22"/>
        </w:rPr>
        <w:fldChar w:fldCharType="separate"/>
      </w:r>
      <w:r>
        <w:rPr>
          <w:rStyle w:val="54"/>
          <w:sz w:val="22"/>
          <w:szCs w:val="22"/>
        </w:rPr>
        <w:t>art. 14, inciso IV, da Lei Federal nº 14.133, de 2021</w:t>
      </w:r>
      <w:r>
        <w:rPr>
          <w:rStyle w:val="54"/>
          <w:sz w:val="22"/>
          <w:szCs w:val="22"/>
        </w:rPr>
        <w:fldChar w:fldCharType="end"/>
      </w:r>
      <w:r>
        <w:rPr>
          <w:sz w:val="22"/>
          <w:szCs w:val="22"/>
        </w:rPr>
        <w:t>).</w:t>
      </w:r>
    </w:p>
    <w:p>
      <w:pPr>
        <w:pStyle w:val="28"/>
        <w:numPr>
          <w:ilvl w:val="0"/>
          <w:numId w:val="0"/>
        </w:numPr>
        <w:tabs>
          <w:tab w:val="left" w:pos="993"/>
        </w:tabs>
        <w:spacing w:before="0" w:beforeAutospacing="0" w:after="0" w:afterAutospacing="0"/>
        <w:ind w:left="0" w:firstLine="0"/>
        <w:jc w:val="both"/>
        <w:rPr>
          <w:rFonts w:ascii="Times New Roman" w:hAnsi="Times New Roman"/>
          <w:sz w:val="22"/>
          <w:szCs w:val="22"/>
        </w:rPr>
      </w:pPr>
    </w:p>
    <w:p>
      <w:pPr>
        <w:pStyle w:val="28"/>
        <w:numPr>
          <w:ilvl w:val="0"/>
          <w:numId w:val="17"/>
        </w:numPr>
        <w:pBdr>
          <w:bottom w:val="single" w:color="000000" w:themeColor="dark1" w:sz="4" w:space="1"/>
        </w:pBdr>
        <w:shd w:val="clear" w:color="auto" w:fill="BEBEBE" w:themeFill="background1" w:themeFillShade="BF"/>
        <w:spacing w:before="0" w:beforeAutospacing="0" w:after="0" w:afterAutospacing="0"/>
        <w:jc w:val="both"/>
      </w:pPr>
      <w:r>
        <w:rPr>
          <w:rStyle w:val="11"/>
          <w:color w:val="000000"/>
          <w:sz w:val="22"/>
          <w:szCs w:val="22"/>
        </w:rPr>
        <w:t>DOS CASOS OMISSOS</w:t>
      </w:r>
      <w:r>
        <w:rPr>
          <w:sz w:val="22"/>
          <w:szCs w:val="22"/>
        </w:rPr>
        <w:t xml:space="preserve"> (</w:t>
      </w:r>
      <w:r>
        <w:fldChar w:fldCharType="begin"/>
      </w:r>
      <w:r>
        <w:rPr>
          <w:rStyle w:val="54"/>
          <w:sz w:val="22"/>
          <w:szCs w:val="22"/>
        </w:rPr>
        <w:instrText xml:space="preserve"> HYPERLINK "http://www.planalto.gov.br/ccivil_03/_ato2019-2022/2021/lei/L14133.htm" \l "art92"</w:instrText>
      </w:r>
      <w:r>
        <w:rPr>
          <w:rStyle w:val="54"/>
          <w:sz w:val="22"/>
          <w:szCs w:val="22"/>
        </w:rPr>
        <w:fldChar w:fldCharType="separate"/>
      </w:r>
      <w:r>
        <w:rPr>
          <w:rStyle w:val="54"/>
          <w:sz w:val="22"/>
          <w:szCs w:val="22"/>
        </w:rPr>
        <w:t>art. 92, III</w:t>
      </w:r>
      <w:r>
        <w:rPr>
          <w:rStyle w:val="54"/>
          <w:sz w:val="22"/>
          <w:szCs w:val="22"/>
        </w:rPr>
        <w:fldChar w:fldCharType="end"/>
      </w:r>
      <w:r>
        <w:rPr>
          <w:rStyle w:val="54"/>
          <w:sz w:val="22"/>
          <w:szCs w:val="22"/>
        </w:rPr>
        <w:t>, da Lei Federal nº 14.133, de 2021</w:t>
      </w:r>
      <w:r>
        <w:rPr>
          <w:sz w:val="22"/>
          <w:szCs w:val="22"/>
        </w:rPr>
        <w:t>)</w:t>
      </w:r>
    </w:p>
    <w:p>
      <w:pPr>
        <w:pStyle w:val="28"/>
        <w:numPr>
          <w:ilvl w:val="1"/>
          <w:numId w:val="17"/>
        </w:numPr>
        <w:tabs>
          <w:tab w:val="left" w:pos="993"/>
        </w:tabs>
        <w:spacing w:before="0" w:beforeAutospacing="0" w:after="0" w:afterAutospacing="0"/>
        <w:ind w:left="0" w:firstLine="567"/>
        <w:jc w:val="both"/>
      </w:pPr>
      <w:r>
        <w:rPr>
          <w:sz w:val="22"/>
          <w:szCs w:val="22"/>
        </w:rPr>
        <w:t xml:space="preserve">Os casos omissos serão decididos pelo Contratante, segundo as disposições contidas na </w:t>
      </w:r>
      <w:r>
        <w:fldChar w:fldCharType="begin"/>
      </w:r>
      <w:r>
        <w:instrText xml:space="preserve"> HYPERLINK "http://www.planalto.gov.br/ccivil_03/_ato2019-2022/2021/lei/L14133.htm" \h </w:instrText>
      </w:r>
      <w:r>
        <w:fldChar w:fldCharType="separate"/>
      </w:r>
      <w:r>
        <w:rPr>
          <w:rStyle w:val="54"/>
          <w:sz w:val="22"/>
          <w:szCs w:val="22"/>
        </w:rPr>
        <w:t>Lei Federal nº 14.133, de 2021</w:t>
      </w:r>
      <w:r>
        <w:rPr>
          <w:rStyle w:val="54"/>
          <w:sz w:val="22"/>
          <w:szCs w:val="22"/>
        </w:rPr>
        <w:fldChar w:fldCharType="end"/>
      </w:r>
      <w:r>
        <w:rPr>
          <w:sz w:val="22"/>
          <w:szCs w:val="22"/>
        </w:rPr>
        <w:t xml:space="preserve">, e demais normas federais aplicáveis e, subsidiariamente, segundo as disposições contidas na </w:t>
      </w:r>
      <w:r>
        <w:fldChar w:fldCharType="begin"/>
      </w:r>
      <w:r>
        <w:instrText xml:space="preserve"> HYPERLINK "https://www.planalto.gov.br/ccivil_03/leis/l8078compilado.htm" \h </w:instrText>
      </w:r>
      <w:r>
        <w:fldChar w:fldCharType="separate"/>
      </w:r>
      <w:r>
        <w:rPr>
          <w:rStyle w:val="54"/>
          <w:sz w:val="22"/>
          <w:szCs w:val="22"/>
        </w:rPr>
        <w:t>Lei Federal nº 8.078, de 1990 - Código de Defesa do Consumidor</w:t>
      </w:r>
      <w:r>
        <w:rPr>
          <w:rStyle w:val="54"/>
          <w:sz w:val="22"/>
          <w:szCs w:val="22"/>
        </w:rPr>
        <w:fldChar w:fldCharType="end"/>
      </w:r>
      <w:r>
        <w:rPr>
          <w:sz w:val="22"/>
          <w:szCs w:val="22"/>
        </w:rPr>
        <w:t xml:space="preserve"> - e normas e princípios gerais dos contratos.</w:t>
      </w:r>
    </w:p>
    <w:p>
      <w:pPr>
        <w:pStyle w:val="28"/>
        <w:numPr>
          <w:ilvl w:val="0"/>
          <w:numId w:val="17"/>
        </w:numPr>
        <w:pBdr>
          <w:bottom w:val="single" w:color="000000" w:themeColor="dark1" w:sz="4" w:space="1"/>
        </w:pBdr>
        <w:shd w:val="clear" w:color="auto" w:fill="BEBEBE" w:themeFill="background1" w:themeFillShade="BF"/>
        <w:spacing w:before="0" w:beforeAutospacing="0" w:after="0" w:afterAutospacing="0"/>
        <w:jc w:val="both"/>
      </w:pPr>
      <w:r>
        <w:rPr>
          <w:rStyle w:val="11"/>
          <w:color w:val="000000"/>
          <w:sz w:val="22"/>
          <w:szCs w:val="22"/>
        </w:rPr>
        <w:t xml:space="preserve">PUBLICAÇÃO </w:t>
      </w:r>
      <w:r>
        <w:rPr>
          <w:rStyle w:val="11"/>
          <w:b w:val="0"/>
          <w:bCs w:val="0"/>
          <w:color w:val="000000"/>
          <w:sz w:val="22"/>
          <w:szCs w:val="22"/>
        </w:rPr>
        <w:t>(</w:t>
      </w:r>
      <w:r>
        <w:fldChar w:fldCharType="begin"/>
      </w:r>
      <w:r>
        <w:rPr>
          <w:rStyle w:val="54"/>
          <w:sz w:val="22"/>
          <w:szCs w:val="22"/>
        </w:rPr>
        <w:instrText xml:space="preserve"> HYPERLINK "http://www.planalto.gov.br/ccivil_03/_ato2019-2022/2021/lei/L14133.htm" \l "art94"</w:instrText>
      </w:r>
      <w:r>
        <w:rPr>
          <w:rStyle w:val="54"/>
          <w:sz w:val="22"/>
          <w:szCs w:val="22"/>
        </w:rPr>
        <w:fldChar w:fldCharType="separate"/>
      </w:r>
      <w:r>
        <w:rPr>
          <w:rStyle w:val="54"/>
          <w:sz w:val="22"/>
          <w:szCs w:val="22"/>
        </w:rPr>
        <w:t>art. 94 da Lei Federal nº 14.133, de 2021</w:t>
      </w:r>
      <w:r>
        <w:rPr>
          <w:rStyle w:val="54"/>
          <w:sz w:val="22"/>
          <w:szCs w:val="22"/>
        </w:rPr>
        <w:fldChar w:fldCharType="end"/>
      </w:r>
      <w:r>
        <w:rPr>
          <w:rStyle w:val="11"/>
          <w:b w:val="0"/>
          <w:bCs w:val="0"/>
          <w:color w:val="000000"/>
          <w:sz w:val="22"/>
          <w:szCs w:val="22"/>
        </w:rPr>
        <w:t>)</w:t>
      </w:r>
    </w:p>
    <w:p>
      <w:pPr>
        <w:pStyle w:val="28"/>
        <w:numPr>
          <w:ilvl w:val="1"/>
          <w:numId w:val="17"/>
        </w:numPr>
        <w:tabs>
          <w:tab w:val="left" w:pos="993"/>
        </w:tabs>
        <w:spacing w:before="0" w:beforeAutospacing="0" w:after="0" w:afterAutospacing="0"/>
        <w:ind w:left="0" w:firstLine="567"/>
        <w:jc w:val="both"/>
      </w:pPr>
      <w:r>
        <w:rPr>
          <w:sz w:val="22"/>
          <w:szCs w:val="22"/>
        </w:rPr>
        <w:t>Incumbirá ao Contratante divulgar o presente instrumento no Portal Nacional de Contratações Públicas - PNCP (</w:t>
      </w:r>
      <w:r>
        <w:fldChar w:fldCharType="begin"/>
      </w:r>
      <w:r>
        <w:instrText xml:space="preserve"> HYPERLINK "https://pncp.gov.br/" \h </w:instrText>
      </w:r>
      <w:r>
        <w:fldChar w:fldCharType="separate"/>
      </w:r>
      <w:r>
        <w:rPr>
          <w:rStyle w:val="54"/>
          <w:sz w:val="22"/>
          <w:szCs w:val="22"/>
        </w:rPr>
        <w:t>https://pncp.gov.br/</w:t>
      </w:r>
      <w:r>
        <w:rPr>
          <w:rStyle w:val="54"/>
          <w:sz w:val="22"/>
          <w:szCs w:val="22"/>
        </w:rPr>
        <w:fldChar w:fldCharType="end"/>
      </w:r>
      <w:r>
        <w:rPr>
          <w:sz w:val="22"/>
          <w:szCs w:val="22"/>
        </w:rPr>
        <w:t xml:space="preserve">), na forma prevista no </w:t>
      </w:r>
      <w:r>
        <w:fldChar w:fldCharType="begin"/>
      </w:r>
      <w:r>
        <w:rPr>
          <w:rStyle w:val="54"/>
          <w:sz w:val="22"/>
          <w:szCs w:val="22"/>
        </w:rPr>
        <w:instrText xml:space="preserve"> HYPERLINK "http://www.planalto.gov.br/ccivil_03/_ato2019-2022/2021/lei/L14133.htm" \l "art94"</w:instrText>
      </w:r>
      <w:r>
        <w:rPr>
          <w:rStyle w:val="54"/>
          <w:sz w:val="22"/>
          <w:szCs w:val="22"/>
        </w:rPr>
        <w:fldChar w:fldCharType="separate"/>
      </w:r>
      <w:r>
        <w:rPr>
          <w:rStyle w:val="54"/>
          <w:sz w:val="22"/>
          <w:szCs w:val="22"/>
        </w:rPr>
        <w:t>art. 94 da Lei Federal nº 14.133, de 2021</w:t>
      </w:r>
      <w:r>
        <w:rPr>
          <w:rStyle w:val="54"/>
          <w:sz w:val="22"/>
          <w:szCs w:val="22"/>
        </w:rPr>
        <w:fldChar w:fldCharType="end"/>
      </w:r>
      <w:r>
        <w:rPr>
          <w:sz w:val="22"/>
          <w:szCs w:val="22"/>
        </w:rPr>
        <w:t xml:space="preserve">, bem como no respectivo sítio oficial na Internet, em atenção ao </w:t>
      </w:r>
      <w:r>
        <w:fldChar w:fldCharType="begin"/>
      </w:r>
      <w:r>
        <w:rPr>
          <w:rStyle w:val="54"/>
          <w:sz w:val="22"/>
          <w:szCs w:val="22"/>
        </w:rPr>
        <w:instrText xml:space="preserve"> HYPERLINK "http://www.planalto.gov.br/ccivil_03/_ato2019-2022/2021/lei/L14133.htm" \l "art94"</w:instrText>
      </w:r>
      <w:r>
        <w:rPr>
          <w:rStyle w:val="54"/>
          <w:sz w:val="22"/>
          <w:szCs w:val="22"/>
        </w:rPr>
        <w:fldChar w:fldCharType="separate"/>
      </w:r>
      <w:r>
        <w:rPr>
          <w:rStyle w:val="54"/>
          <w:sz w:val="22"/>
          <w:szCs w:val="22"/>
        </w:rPr>
        <w:t xml:space="preserve">art. 91, </w:t>
      </w:r>
      <w:r>
        <w:rPr>
          <w:rStyle w:val="54"/>
          <w:sz w:val="22"/>
          <w:szCs w:val="22"/>
        </w:rPr>
        <w:fldChar w:fldCharType="end"/>
      </w:r>
      <w:r>
        <w:rPr>
          <w:rStyle w:val="54"/>
          <w:i/>
          <w:iCs/>
          <w:sz w:val="22"/>
          <w:szCs w:val="22"/>
        </w:rPr>
        <w:t>caput</w:t>
      </w:r>
      <w:r>
        <w:rPr>
          <w:rStyle w:val="54"/>
          <w:sz w:val="22"/>
          <w:szCs w:val="22"/>
        </w:rPr>
        <w:t>, da Lei Federal nº 14.133, de 2021</w:t>
      </w:r>
      <w:r>
        <w:rPr>
          <w:sz w:val="22"/>
          <w:szCs w:val="22"/>
        </w:rPr>
        <w:t xml:space="preserve">, e ao </w:t>
      </w:r>
      <w:r>
        <w:fldChar w:fldCharType="begin"/>
      </w:r>
      <w:r>
        <w:rPr>
          <w:rStyle w:val="54"/>
          <w:sz w:val="22"/>
          <w:szCs w:val="22"/>
        </w:rPr>
        <w:instrText xml:space="preserve"> HYPERLINK "https://www.planalto.gov.br/ccivil_03/_ato2011-2014/2011/lei/l12527.htm" \l "art8§2"</w:instrText>
      </w:r>
      <w:r>
        <w:rPr>
          <w:rStyle w:val="54"/>
          <w:sz w:val="22"/>
          <w:szCs w:val="22"/>
        </w:rPr>
        <w:fldChar w:fldCharType="separate"/>
      </w:r>
      <w:r>
        <w:rPr>
          <w:rStyle w:val="54"/>
          <w:sz w:val="22"/>
          <w:szCs w:val="22"/>
        </w:rPr>
        <w:t>art. 8º, §2º, da Lei Federal nº 12.527, de 2011</w:t>
      </w:r>
      <w:r>
        <w:rPr>
          <w:rStyle w:val="54"/>
          <w:sz w:val="22"/>
          <w:szCs w:val="22"/>
        </w:rPr>
        <w:fldChar w:fldCharType="end"/>
      </w:r>
      <w:r>
        <w:rPr>
          <w:sz w:val="22"/>
          <w:szCs w:val="22"/>
        </w:rPr>
        <w:t>.</w:t>
      </w:r>
    </w:p>
    <w:p>
      <w:pPr>
        <w:pStyle w:val="28"/>
        <w:numPr>
          <w:ilvl w:val="0"/>
          <w:numId w:val="17"/>
        </w:numPr>
        <w:pBdr>
          <w:bottom w:val="single" w:color="000000" w:themeColor="dark1" w:sz="4" w:space="1"/>
        </w:pBdr>
        <w:shd w:val="clear" w:color="auto" w:fill="BEBEBE" w:themeFill="background1" w:themeFillShade="BF"/>
        <w:spacing w:before="0" w:beforeAutospacing="0" w:after="0" w:afterAutospacing="0"/>
        <w:jc w:val="both"/>
      </w:pPr>
      <w:r>
        <w:rPr>
          <w:rStyle w:val="11"/>
          <w:color w:val="000000"/>
          <w:sz w:val="22"/>
          <w:szCs w:val="22"/>
        </w:rPr>
        <w:t>FORO</w:t>
      </w:r>
      <w:r>
        <w:rPr>
          <w:sz w:val="22"/>
          <w:szCs w:val="22"/>
        </w:rPr>
        <w:t xml:space="preserve"> (</w:t>
      </w:r>
      <w:r>
        <w:fldChar w:fldCharType="begin"/>
      </w:r>
      <w:r>
        <w:rPr>
          <w:rStyle w:val="54"/>
          <w:sz w:val="22"/>
          <w:szCs w:val="22"/>
        </w:rPr>
        <w:instrText xml:space="preserve"> HYPERLINK "http://www.planalto.gov.br/ccivil_03/_ato2019-2022/2021/lei/L14133.htm" \l "art92§1"</w:instrText>
      </w:r>
      <w:r>
        <w:rPr>
          <w:rStyle w:val="54"/>
          <w:sz w:val="22"/>
          <w:szCs w:val="22"/>
        </w:rPr>
        <w:fldChar w:fldCharType="separate"/>
      </w:r>
      <w:r>
        <w:rPr>
          <w:rStyle w:val="54"/>
          <w:sz w:val="22"/>
          <w:szCs w:val="22"/>
        </w:rPr>
        <w:t>art. 92, §1º</w:t>
      </w:r>
      <w:r>
        <w:rPr>
          <w:rStyle w:val="54"/>
          <w:sz w:val="22"/>
          <w:szCs w:val="22"/>
        </w:rPr>
        <w:fldChar w:fldCharType="end"/>
      </w:r>
      <w:r>
        <w:rPr>
          <w:rStyle w:val="54"/>
          <w:sz w:val="22"/>
          <w:szCs w:val="22"/>
        </w:rPr>
        <w:t>, da Lei Federal nº 14.133, de 2021</w:t>
      </w:r>
      <w:r>
        <w:rPr>
          <w:sz w:val="22"/>
          <w:szCs w:val="22"/>
        </w:rPr>
        <w:t>)</w:t>
      </w:r>
    </w:p>
    <w:p>
      <w:pPr>
        <w:pStyle w:val="28"/>
        <w:numPr>
          <w:ilvl w:val="1"/>
          <w:numId w:val="17"/>
        </w:numPr>
        <w:tabs>
          <w:tab w:val="left" w:pos="993"/>
        </w:tabs>
        <w:spacing w:before="0" w:beforeAutospacing="0" w:after="120" w:afterAutospacing="0"/>
        <w:ind w:left="0" w:firstLine="567"/>
        <w:jc w:val="both"/>
      </w:pPr>
      <w:r>
        <w:rPr>
          <w:sz w:val="22"/>
          <w:szCs w:val="22"/>
        </w:rPr>
        <w:t>Fica eleito o Foro d</w:t>
      </w:r>
      <w:r>
        <w:rPr>
          <w:rFonts w:hint="default"/>
          <w:sz w:val="22"/>
          <w:szCs w:val="22"/>
          <w:lang w:val="pt-BR"/>
        </w:rPr>
        <w:t>e Primavera do Leste</w:t>
      </w:r>
      <w:r>
        <w:rPr>
          <w:sz w:val="22"/>
          <w:szCs w:val="22"/>
        </w:rPr>
        <w:t xml:space="preserve"> - MT para dirimir os litígios que decorrerem da execução deste Termo de Contrato que não puderem ser compostos pela conciliação administrativa, conforme </w:t>
      </w:r>
      <w:r>
        <w:fldChar w:fldCharType="begin"/>
      </w:r>
      <w:r>
        <w:rPr>
          <w:rStyle w:val="54"/>
          <w:sz w:val="22"/>
          <w:szCs w:val="22"/>
        </w:rPr>
        <w:instrText xml:space="preserve"> HYPERLINK "http://www.planalto.gov.br/ccivil_03/_ato2019-2022/2021/lei/L14133.htm" \l "art92§1"</w:instrText>
      </w:r>
      <w:r>
        <w:rPr>
          <w:rStyle w:val="54"/>
          <w:sz w:val="22"/>
          <w:szCs w:val="22"/>
        </w:rPr>
        <w:fldChar w:fldCharType="separate"/>
      </w:r>
      <w:r>
        <w:rPr>
          <w:rStyle w:val="54"/>
          <w:sz w:val="22"/>
          <w:szCs w:val="22"/>
        </w:rPr>
        <w:t>art. 92, §1º, da Lei Federal nº 14.133, de 2021.</w:t>
      </w:r>
      <w:r>
        <w:rPr>
          <w:rStyle w:val="54"/>
          <w:sz w:val="22"/>
          <w:szCs w:val="22"/>
        </w:rPr>
        <w:fldChar w:fldCharType="end"/>
      </w:r>
    </w:p>
    <w:p>
      <w:pPr>
        <w:pStyle w:val="28"/>
        <w:tabs>
          <w:tab w:val="left" w:pos="993"/>
        </w:tabs>
        <w:spacing w:before="120" w:beforeAutospacing="0" w:after="120" w:afterAutospacing="0"/>
        <w:ind w:firstLine="567"/>
        <w:jc w:val="both"/>
        <w:rPr>
          <w:rFonts w:ascii="Times New Roman" w:hAnsi="Times New Roman"/>
          <w:sz w:val="22"/>
          <w:szCs w:val="22"/>
        </w:rPr>
      </w:pPr>
      <w:r>
        <w:rPr>
          <w:sz w:val="22"/>
          <w:szCs w:val="22"/>
        </w:rPr>
        <w:t>Para firmeza e como prova de assim haverem ajustado, depois de lido e achado de acordo, este instrumento será assinado digitalmente ou, em caso de impossibilidade, impresso e assinado em 2 (duas) vias de igual teor e forma.</w:t>
      </w:r>
    </w:p>
    <w:p>
      <w:pPr>
        <w:pStyle w:val="28"/>
        <w:tabs>
          <w:tab w:val="left" w:pos="993"/>
        </w:tabs>
        <w:spacing w:before="120" w:beforeAutospacing="0" w:after="120" w:afterAutospacing="0"/>
        <w:ind w:firstLine="567"/>
        <w:jc w:val="right"/>
        <w:rPr>
          <w:rFonts w:ascii="Times New Roman" w:hAnsi="Times New Roman"/>
          <w:sz w:val="22"/>
          <w:szCs w:val="22"/>
        </w:rPr>
      </w:pPr>
      <w:r>
        <w:rPr>
          <w:sz w:val="22"/>
          <w:szCs w:val="22"/>
        </w:rPr>
        <w:t>Primavera do Leste - MT, em ____________, de ___________de 2024.</w:t>
      </w:r>
    </w:p>
    <w:p>
      <w:pPr>
        <w:pStyle w:val="28"/>
        <w:tabs>
          <w:tab w:val="left" w:pos="993"/>
        </w:tabs>
        <w:spacing w:before="120" w:beforeAutospacing="0" w:after="120" w:afterAutospacing="0"/>
        <w:jc w:val="right"/>
        <w:rPr>
          <w:rFonts w:ascii="Times New Roman" w:hAnsi="Times New Roman"/>
          <w:sz w:val="22"/>
          <w:szCs w:val="22"/>
        </w:rPr>
      </w:pPr>
    </w:p>
    <w:p>
      <w:pPr>
        <w:pStyle w:val="28"/>
        <w:tabs>
          <w:tab w:val="left" w:pos="993"/>
        </w:tabs>
        <w:spacing w:before="120" w:beforeAutospacing="0" w:after="120" w:afterAutospacing="0"/>
        <w:jc w:val="both"/>
        <w:rPr>
          <w:rFonts w:ascii="Times New Roman" w:hAnsi="Times New Roman"/>
          <w:sz w:val="22"/>
          <w:szCs w:val="22"/>
        </w:rPr>
      </w:pPr>
      <w:r>
        <w:rPr>
          <w:sz w:val="22"/>
          <w:szCs w:val="22"/>
          <w:u w:val="single"/>
        </w:rPr>
        <w:t>Representantes legais</w:t>
      </w:r>
      <w:r>
        <w:rPr>
          <w:sz w:val="22"/>
          <w:szCs w:val="22"/>
        </w:rPr>
        <w:t>:</w:t>
      </w:r>
    </w:p>
    <w:p>
      <w:pPr>
        <w:pStyle w:val="28"/>
        <w:tabs>
          <w:tab w:val="left" w:pos="993"/>
        </w:tabs>
        <w:spacing w:before="120" w:beforeAutospacing="0" w:after="120" w:afterAutospacing="0"/>
        <w:jc w:val="both"/>
        <w:rPr>
          <w:rFonts w:ascii="Times New Roman" w:hAnsi="Times New Roman"/>
          <w:sz w:val="22"/>
          <w:szCs w:val="22"/>
          <w:highlight w:val="none"/>
        </w:rPr>
      </w:pPr>
    </w:p>
    <w:p>
      <w:pPr>
        <w:pStyle w:val="28"/>
        <w:tabs>
          <w:tab w:val="left" w:pos="993"/>
        </w:tabs>
        <w:spacing w:before="120" w:beforeAutospacing="0" w:after="120" w:afterAutospacing="0"/>
        <w:jc w:val="both"/>
        <w:rPr>
          <w:rFonts w:ascii="Times New Roman" w:hAnsi="Times New Roman"/>
          <w:sz w:val="22"/>
          <w:szCs w:val="22"/>
          <w:highlight w:val="none"/>
        </w:rPr>
      </w:pPr>
    </w:p>
    <w:tbl>
      <w:tblPr>
        <w:tblStyle w:val="42"/>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6"/>
        <w:gridCol w:w="4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6" w:type="dxa"/>
            <w:tcBorders>
              <w:top w:val="nil"/>
              <w:left w:val="nil"/>
              <w:bottom w:val="nil"/>
              <w:right w:val="nil"/>
            </w:tcBorders>
          </w:tcPr>
          <w:p>
            <w:pPr>
              <w:pStyle w:val="28"/>
              <w:widowControl/>
              <w:tabs>
                <w:tab w:val="left" w:pos="993"/>
              </w:tabs>
              <w:suppressAutoHyphens/>
              <w:spacing w:before="0" w:beforeAutospacing="0" w:after="0" w:afterAutospacing="0"/>
              <w:jc w:val="center"/>
              <w:rPr>
                <w:rFonts w:ascii="Times New Roman" w:hAnsi="Times New Roman"/>
                <w:sz w:val="22"/>
                <w:szCs w:val="22"/>
                <w:highlight w:val="none"/>
              </w:rPr>
            </w:pPr>
            <w:r>
              <w:rPr>
                <w:b/>
                <w:bCs/>
                <w:kern w:val="0"/>
                <w:sz w:val="22"/>
                <w:szCs w:val="22"/>
                <w:highlight w:val="none"/>
                <w:lang w:val="pt-BR" w:bidi="ar-SA"/>
              </w:rPr>
              <w:t>Nome do Ordenador de Despesas</w:t>
            </w:r>
          </w:p>
          <w:p>
            <w:pPr>
              <w:pStyle w:val="28"/>
              <w:widowControl/>
              <w:tabs>
                <w:tab w:val="left" w:pos="993"/>
              </w:tabs>
              <w:suppressAutoHyphens/>
              <w:spacing w:before="0" w:beforeAutospacing="0" w:after="0" w:afterAutospacing="0"/>
              <w:jc w:val="center"/>
              <w:rPr>
                <w:rFonts w:ascii="Times New Roman" w:hAnsi="Times New Roman"/>
                <w:sz w:val="22"/>
                <w:szCs w:val="22"/>
                <w:highlight w:val="none"/>
              </w:rPr>
            </w:pPr>
            <w:r>
              <w:rPr>
                <w:kern w:val="0"/>
                <w:sz w:val="22"/>
                <w:szCs w:val="22"/>
                <w:highlight w:val="none"/>
                <w:lang w:val="pt-BR" w:bidi="ar-SA"/>
              </w:rPr>
              <w:t>Contratante</w:t>
            </w:r>
          </w:p>
        </w:tc>
        <w:tc>
          <w:tcPr>
            <w:tcW w:w="4464" w:type="dxa"/>
            <w:tcBorders>
              <w:top w:val="nil"/>
              <w:left w:val="nil"/>
              <w:bottom w:val="nil"/>
              <w:right w:val="nil"/>
            </w:tcBorders>
          </w:tcPr>
          <w:p>
            <w:pPr>
              <w:pStyle w:val="28"/>
              <w:widowControl/>
              <w:tabs>
                <w:tab w:val="left" w:pos="993"/>
              </w:tabs>
              <w:suppressAutoHyphens/>
              <w:spacing w:before="0" w:beforeAutospacing="0" w:after="0" w:afterAutospacing="0"/>
              <w:jc w:val="center"/>
              <w:rPr>
                <w:rFonts w:ascii="Times New Roman" w:hAnsi="Times New Roman"/>
                <w:sz w:val="22"/>
                <w:szCs w:val="22"/>
                <w:highlight w:val="none"/>
              </w:rPr>
            </w:pPr>
            <w:r>
              <w:rPr>
                <w:b/>
                <w:bCs/>
                <w:kern w:val="0"/>
                <w:sz w:val="22"/>
                <w:szCs w:val="22"/>
                <w:highlight w:val="none"/>
                <w:lang w:val="pt-BR" w:bidi="ar-SA"/>
              </w:rPr>
              <w:t>Nome da Contratada</w:t>
            </w:r>
          </w:p>
          <w:p>
            <w:pPr>
              <w:pStyle w:val="28"/>
              <w:widowControl/>
              <w:tabs>
                <w:tab w:val="left" w:pos="993"/>
              </w:tabs>
              <w:suppressAutoHyphens/>
              <w:spacing w:before="0" w:beforeAutospacing="0" w:after="0" w:afterAutospacing="0"/>
              <w:jc w:val="center"/>
              <w:rPr>
                <w:rFonts w:ascii="Times New Roman" w:hAnsi="Times New Roman"/>
                <w:sz w:val="22"/>
                <w:szCs w:val="22"/>
                <w:highlight w:val="none"/>
              </w:rPr>
            </w:pPr>
            <w:r>
              <w:rPr>
                <w:kern w:val="0"/>
                <w:sz w:val="22"/>
                <w:szCs w:val="22"/>
                <w:highlight w:val="none"/>
                <w:lang w:val="pt-BR" w:bidi="ar-SA"/>
              </w:rPr>
              <w:t>Contratada</w:t>
            </w:r>
          </w:p>
        </w:tc>
      </w:tr>
    </w:tbl>
    <w:p>
      <w:pPr>
        <w:pStyle w:val="28"/>
        <w:tabs>
          <w:tab w:val="left" w:pos="993"/>
        </w:tabs>
        <w:spacing w:before="120" w:beforeAutospacing="0" w:after="120" w:afterAutospacing="0"/>
        <w:jc w:val="both"/>
        <w:rPr>
          <w:rFonts w:ascii="Times New Roman" w:hAnsi="Times New Roman"/>
          <w:sz w:val="22"/>
          <w:szCs w:val="22"/>
          <w:highlight w:val="none"/>
        </w:rPr>
      </w:pPr>
    </w:p>
    <w:p>
      <w:pPr>
        <w:pStyle w:val="28"/>
        <w:tabs>
          <w:tab w:val="left" w:pos="993"/>
        </w:tabs>
        <w:spacing w:before="120" w:beforeAutospacing="0" w:after="120" w:afterAutospacing="0"/>
        <w:jc w:val="both"/>
        <w:rPr>
          <w:rFonts w:ascii="Times New Roman" w:hAnsi="Times New Roman"/>
          <w:sz w:val="22"/>
          <w:szCs w:val="22"/>
          <w:highlight w:val="none"/>
        </w:rPr>
      </w:pPr>
      <w:r>
        <w:rPr>
          <w:sz w:val="22"/>
          <w:szCs w:val="22"/>
          <w:highlight w:val="none"/>
          <w:u w:val="single"/>
        </w:rPr>
        <w:t>Testemunhas</w:t>
      </w:r>
      <w:r>
        <w:rPr>
          <w:sz w:val="22"/>
          <w:szCs w:val="22"/>
          <w:highlight w:val="none"/>
        </w:rPr>
        <w:t>:</w:t>
      </w:r>
    </w:p>
    <w:p>
      <w:pPr>
        <w:pStyle w:val="28"/>
        <w:tabs>
          <w:tab w:val="left" w:pos="993"/>
        </w:tabs>
        <w:spacing w:before="120" w:beforeAutospacing="0" w:after="120" w:afterAutospacing="0"/>
        <w:jc w:val="both"/>
        <w:rPr>
          <w:rFonts w:ascii="Times New Roman" w:hAnsi="Times New Roman"/>
          <w:sz w:val="22"/>
          <w:szCs w:val="22"/>
          <w:highlight w:val="none"/>
        </w:rPr>
      </w:pPr>
    </w:p>
    <w:p>
      <w:pPr>
        <w:pStyle w:val="28"/>
        <w:tabs>
          <w:tab w:val="left" w:pos="993"/>
        </w:tabs>
        <w:spacing w:before="120" w:beforeAutospacing="0" w:after="120" w:afterAutospacing="0"/>
        <w:jc w:val="both"/>
        <w:rPr>
          <w:rFonts w:ascii="Times New Roman" w:hAnsi="Times New Roman"/>
          <w:sz w:val="22"/>
          <w:szCs w:val="22"/>
          <w:highlight w:val="none"/>
        </w:rPr>
      </w:pPr>
    </w:p>
    <w:tbl>
      <w:tblPr>
        <w:tblStyle w:val="42"/>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5"/>
        <w:gridCol w:w="4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5" w:type="dxa"/>
            <w:tcBorders>
              <w:top w:val="nil"/>
              <w:left w:val="nil"/>
              <w:bottom w:val="nil"/>
              <w:right w:val="nil"/>
            </w:tcBorders>
          </w:tcPr>
          <w:p>
            <w:pPr>
              <w:pStyle w:val="28"/>
              <w:widowControl/>
              <w:tabs>
                <w:tab w:val="left" w:pos="993"/>
              </w:tabs>
              <w:suppressAutoHyphens/>
              <w:spacing w:before="0" w:beforeAutospacing="0" w:after="0" w:afterAutospacing="0"/>
              <w:jc w:val="center"/>
              <w:rPr>
                <w:rFonts w:ascii="Times New Roman" w:hAnsi="Times New Roman"/>
                <w:sz w:val="22"/>
                <w:szCs w:val="22"/>
                <w:highlight w:val="none"/>
              </w:rPr>
            </w:pPr>
            <w:r>
              <w:rPr>
                <w:b/>
                <w:bCs/>
                <w:kern w:val="0"/>
                <w:sz w:val="22"/>
                <w:szCs w:val="22"/>
                <w:highlight w:val="none"/>
                <w:lang w:val="pt-BR" w:bidi="ar-SA"/>
              </w:rPr>
              <w:t>Nome da 1ª Testemunha</w:t>
            </w:r>
          </w:p>
          <w:p>
            <w:pPr>
              <w:pStyle w:val="28"/>
              <w:widowControl/>
              <w:tabs>
                <w:tab w:val="left" w:pos="993"/>
              </w:tabs>
              <w:suppressAutoHyphens/>
              <w:spacing w:before="0" w:beforeAutospacing="0" w:after="0" w:afterAutospacing="0"/>
              <w:jc w:val="center"/>
              <w:rPr>
                <w:rFonts w:ascii="Times New Roman" w:hAnsi="Times New Roman"/>
                <w:sz w:val="22"/>
                <w:szCs w:val="22"/>
                <w:highlight w:val="none"/>
              </w:rPr>
            </w:pPr>
            <w:r>
              <w:rPr>
                <w:kern w:val="0"/>
                <w:sz w:val="22"/>
                <w:szCs w:val="22"/>
                <w:highlight w:val="none"/>
                <w:lang w:val="pt-BR" w:bidi="ar-SA"/>
              </w:rPr>
              <w:t>Matrícula: XXXXX</w:t>
            </w:r>
          </w:p>
        </w:tc>
        <w:tc>
          <w:tcPr>
            <w:tcW w:w="4465" w:type="dxa"/>
            <w:tcBorders>
              <w:top w:val="nil"/>
              <w:left w:val="nil"/>
              <w:bottom w:val="nil"/>
              <w:right w:val="nil"/>
            </w:tcBorders>
          </w:tcPr>
          <w:p>
            <w:pPr>
              <w:pStyle w:val="28"/>
              <w:widowControl/>
              <w:tabs>
                <w:tab w:val="left" w:pos="993"/>
              </w:tabs>
              <w:suppressAutoHyphens/>
              <w:spacing w:before="0" w:beforeAutospacing="0" w:after="0" w:afterAutospacing="0"/>
              <w:jc w:val="center"/>
              <w:rPr>
                <w:rFonts w:ascii="Times New Roman" w:hAnsi="Times New Roman"/>
                <w:sz w:val="22"/>
                <w:szCs w:val="22"/>
                <w:highlight w:val="none"/>
              </w:rPr>
            </w:pPr>
            <w:r>
              <w:rPr>
                <w:b/>
                <w:bCs/>
                <w:kern w:val="0"/>
                <w:sz w:val="22"/>
                <w:szCs w:val="22"/>
                <w:highlight w:val="none"/>
                <w:lang w:val="pt-BR" w:bidi="ar-SA"/>
              </w:rPr>
              <w:t>Nome da 2ª Testemunha</w:t>
            </w:r>
          </w:p>
          <w:p>
            <w:pPr>
              <w:pStyle w:val="28"/>
              <w:widowControl/>
              <w:tabs>
                <w:tab w:val="left" w:pos="993"/>
              </w:tabs>
              <w:suppressAutoHyphens/>
              <w:spacing w:before="0" w:beforeAutospacing="0" w:after="0" w:afterAutospacing="0"/>
              <w:jc w:val="center"/>
              <w:rPr>
                <w:rFonts w:ascii="Times New Roman" w:hAnsi="Times New Roman"/>
                <w:sz w:val="22"/>
                <w:szCs w:val="22"/>
                <w:highlight w:val="none"/>
              </w:rPr>
            </w:pPr>
            <w:r>
              <w:rPr>
                <w:kern w:val="0"/>
                <w:sz w:val="22"/>
                <w:szCs w:val="22"/>
                <w:highlight w:val="none"/>
                <w:lang w:val="pt-BR" w:bidi="ar-SA"/>
              </w:rPr>
              <w:t>Matrícula: XXXXXXX</w:t>
            </w:r>
          </w:p>
        </w:tc>
      </w:tr>
    </w:tbl>
    <w:p>
      <w:pPr>
        <w:pStyle w:val="28"/>
        <w:tabs>
          <w:tab w:val="left" w:pos="993"/>
        </w:tabs>
        <w:spacing w:before="0" w:beforeAutospacing="0" w:after="0" w:afterAutospacing="0"/>
        <w:jc w:val="both"/>
        <w:rPr>
          <w:rFonts w:ascii="Times New Roman" w:hAnsi="Times New Roman"/>
          <w:sz w:val="22"/>
          <w:szCs w:val="22"/>
        </w:rPr>
      </w:pPr>
    </w:p>
    <w:sectPr>
      <w:headerReference r:id="rId8" w:type="first"/>
      <w:footerReference r:id="rId10" w:type="first"/>
      <w:headerReference r:id="rId7" w:type="default"/>
      <w:footerReference r:id="rId9" w:type="default"/>
      <w:footnotePr>
        <w:numFmt w:val="decimal"/>
      </w:footnotePr>
      <w:pgSz w:w="11906" w:h="16838"/>
      <w:pgMar w:top="1701" w:right="1274" w:bottom="1134" w:left="1701" w:header="709" w:footer="0" w:gutter="0"/>
      <w:pgNumType w:fmt="decimal"/>
      <w:cols w:space="720" w:num="1"/>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黑体">
    <w:altName w:val="SimSun"/>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Arial Narrow">
    <w:altName w:val="Arial"/>
    <w:panose1 w:val="00000000000000000000"/>
    <w:charset w:val="00"/>
    <w:family w:val="roman"/>
    <w:pitch w:val="default"/>
    <w:sig w:usb0="00000000" w:usb1="00000000" w:usb2="00000000" w:usb3="00000000" w:csb0="00000000" w:csb1="00000000"/>
  </w:font>
  <w:font w:name="Ecofont_Spranq_eco_Sans">
    <w:altName w:val="Liberation Mono"/>
    <w:panose1 w:val="00000000000000000000"/>
    <w:charset w:val="00"/>
    <w:family w:val="roman"/>
    <w:pitch w:val="default"/>
    <w:sig w:usb0="00000000" w:usb1="00000000" w:usb2="00000000" w:usb3="00000000" w:csb0="00000000" w:csb1="00000000"/>
  </w:font>
  <w:font w:name="Tahoma">
    <w:panose1 w:val="020B0604030504040204"/>
    <w:charset w:val="00"/>
    <w:family w:val="roman"/>
    <w:pitch w:val="default"/>
    <w:sig w:usb0="E1002EFF" w:usb1="C000605B" w:usb2="00000029" w:usb3="00000000" w:csb0="200101FF" w:csb1="20280000"/>
  </w:font>
  <w:font w:name="Liberation Sans">
    <w:panose1 w:val="020B0604020202020204"/>
    <w:charset w:val="00"/>
    <w:family w:val="roman"/>
    <w:pitch w:val="default"/>
    <w:sig w:usb0="E0000AFF" w:usb1="500078FF" w:usb2="00000021" w:usb3="00000000" w:csb0="600001BF" w:csb1="DFF7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roman"/>
    <w:pitch w:val="default"/>
    <w:sig w:usb0="E4002EFF" w:usb1="C000E47F" w:usb2="00000009" w:usb3="00000000" w:csb0="200001FF" w:csb1="00000000"/>
  </w:font>
  <w:font w:name="OpenSymbol">
    <w:panose1 w:val="05010000000000000000"/>
    <w:charset w:val="00"/>
    <w:family w:val="roman"/>
    <w:pitch w:val="default"/>
    <w:sig w:usb0="800000AF" w:usb1="1001ECEA" w:usb2="00000000" w:usb3="00000000" w:csb0="80000001" w:csb1="00000000"/>
  </w:font>
  <w:font w:name="WenQuanYi Micro Hei">
    <w:altName w:val="Liberation Mono"/>
    <w:panose1 w:val="00000000000000000000"/>
    <w:charset w:val="00"/>
    <w:family w:val="auto"/>
    <w:pitch w:val="default"/>
    <w:sig w:usb0="00000000" w:usb1="00000000" w:usb2="00000000" w:usb3="00000000" w:csb0="00000000" w:csb1="00000000"/>
  </w:font>
  <w:font w:name="Lohit Hindi">
    <w:altName w:val="Liberation Mono"/>
    <w:panose1 w:val="00000000000000000000"/>
    <w:charset w:val="00"/>
    <w:family w:val="auto"/>
    <w:pitch w:val="default"/>
    <w:sig w:usb0="00000000" w:usb1="00000000" w:usb2="00000000" w:usb3="00000000" w:csb0="00000000" w:csb1="00000000"/>
  </w:font>
  <w:font w:name="Liberation Serif">
    <w:panose1 w:val="02020603050405020304"/>
    <w:charset w:val="00"/>
    <w:family w:val="roman"/>
    <w:pitch w:val="default"/>
    <w:sig w:usb0="E0000AFF" w:usb1="500078FF" w:usb2="00000021" w:usb3="00000000" w:csb0="600001BF" w:csb1="DFF70000"/>
  </w:font>
  <w:font w:name="NSimSun">
    <w:panose1 w:val="02010609030101010101"/>
    <w:charset w:val="86"/>
    <w:family w:val="auto"/>
    <w:pitch w:val="default"/>
    <w:sig w:usb0="00000203" w:usb1="288F0000" w:usb2="00000006" w:usb3="00000000" w:csb0="00040001" w:csb1="00000000"/>
  </w:font>
  <w:font w:name="Lucida Sans">
    <w:altName w:val="Lucida Sans Unicode"/>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before="120" w:after="0" w:line="240" w:lineRule="auto"/>
      <w:jc w:val="center"/>
      <w:rPr>
        <w:rFonts w:ascii="Times New Roman" w:hAnsi="Times New Roman"/>
        <w:sz w:val="20"/>
        <w:szCs w:val="20"/>
      </w:rPr>
    </w:pPr>
    <w:r>
      <w:rPr>
        <w:rFonts w:ascii="Times New Roman" w:hAnsi="Times New Roman" w:cs="Arial"/>
        <w:sz w:val="20"/>
        <w:szCs w:val="20"/>
      </w:rPr>
      <w:t>Av. Primavera, 300, Bairro Primavera II, Primavera do Leste - MT, CEP: 78850-000</w:t>
    </w:r>
  </w:p>
  <w:p>
    <w:pPr>
      <w:pStyle w:val="20"/>
      <w:spacing w:before="0" w:after="0" w:line="240" w:lineRule="auto"/>
      <w:jc w:val="center"/>
    </w:pPr>
    <w:r>
      <w:rPr>
        <w:rFonts w:ascii="Times New Roman" w:hAnsi="Times New Roman" w:cs="Arial"/>
        <w:sz w:val="20"/>
        <w:szCs w:val="20"/>
      </w:rPr>
      <w:t xml:space="preserve">Fones: (66) 3498-3590/1734 - Site: </w:t>
    </w:r>
    <w:r>
      <w:fldChar w:fldCharType="begin"/>
    </w:r>
    <w:r>
      <w:instrText xml:space="preserve"> HYPERLINK "https://www.primaveradoleste.mt.leg.br/" \h </w:instrText>
    </w:r>
    <w:r>
      <w:fldChar w:fldCharType="separate"/>
    </w:r>
    <w:r>
      <w:rPr>
        <w:rStyle w:val="54"/>
        <w:rFonts w:ascii="Times New Roman" w:hAnsi="Times New Roman" w:cs="Arial"/>
        <w:sz w:val="20"/>
        <w:szCs w:val="20"/>
      </w:rPr>
      <w:t>https://www.primaveradoleste.mt.leg.br/</w:t>
    </w:r>
    <w:r>
      <w:rPr>
        <w:rStyle w:val="54"/>
        <w:rFonts w:ascii="Times New Roman" w:hAnsi="Times New Roman" w:cs="Arial"/>
        <w:sz w:val="20"/>
        <w:szCs w:val="20"/>
      </w:rPr>
      <w:fldChar w:fldCharType="end"/>
    </w:r>
    <w:r>
      <w:rPr>
        <w:rFonts w:ascii="Times New Roman" w:hAnsi="Times New Roman" w:cs="Arial"/>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uppressAutoHyphens/>
      <w:bidi w:val="0"/>
      <w:spacing w:before="0" w:after="200" w:line="276" w:lineRule="auto"/>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6" w:lineRule="auto"/>
      </w:pPr>
      <w:r>
        <w:separator/>
      </w:r>
    </w:p>
  </w:footnote>
  <w:footnote w:type="continuationSeparator" w:id="3">
    <w:p>
      <w:pPr>
        <w:spacing w:before="0" w:after="0" w:line="276" w:lineRule="auto"/>
      </w:pPr>
      <w:r>
        <w:continuationSeparator/>
      </w:r>
    </w:p>
  </w:footnote>
  <w:footnote w:id="0">
    <w:p>
      <w:pPr>
        <w:pStyle w:val="40"/>
      </w:pPr>
      <w:r>
        <w:rPr>
          <w:rStyle w:val="44"/>
        </w:rPr>
        <w:footnoteRef/>
      </w:r>
      <w:r>
        <w:t xml:space="preserve"> </w:t>
      </w:r>
      <w:r>
        <w:rPr>
          <w:rFonts w:ascii="Times New Roman" w:hAnsi="Times New Roman" w:cs="Times New Roman"/>
        </w:rPr>
        <w:t>Quantidade (20.000) multiplicado pelo Preço Unitário do quilômetro voado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rPr>
        <w:rFonts w:eastAsia="Liberation Serif"/>
        <w:sz w:val="18"/>
        <w:szCs w:val="18"/>
        <w:lang w:eastAsia="hi-IN"/>
      </w:rPr>
    </w:pPr>
  </w:p>
  <w:tbl>
    <w:tblPr>
      <w:tblStyle w:val="4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6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8" w:type="dxa"/>
          <w:tcBorders>
            <w:top w:val="nil"/>
            <w:left w:val="nil"/>
            <w:bottom w:val="nil"/>
            <w:right w:val="nil"/>
          </w:tcBorders>
        </w:tcPr>
        <w:p>
          <w:pPr>
            <w:widowControl/>
            <w:suppressAutoHyphens/>
            <w:spacing w:before="0" w:after="0" w:line="240" w:lineRule="auto"/>
            <w:jc w:val="center"/>
            <w:rPr>
              <w:rFonts w:ascii="Times New Roman" w:hAnsi="Times New Roman" w:cs="Times New Roman"/>
              <w:sz w:val="24"/>
              <w:szCs w:val="24"/>
            </w:rPr>
          </w:pPr>
          <w:r>
            <w:object>
              <v:shape id="_x0000_i1025" o:spt="75" type="#_x0000_t75" style="height:47pt;width:127pt;" o:ole="t" filled="f" o:preferrelative="t" stroked="f" coordsize="21600,21600">
                <v:path/>
                <v:fill on="f" focussize="0,0"/>
                <v:stroke on="f" joinstyle="miter"/>
                <v:imagedata r:id="rId2" o:title=""/>
                <o:lock v:ext="edit" aspectratio="t"/>
                <w10:wrap type="none"/>
                <w10:anchorlock/>
              </v:shape>
              <o:OLEObject Type="Embed" ProgID="" ShapeID="_x0000_i1025" DrawAspect="Content" ObjectID="_1468075725" r:id="rId1">
                <o:LockedField>false</o:LockedField>
              </o:OLEObject>
            </w:object>
          </w:r>
        </w:p>
      </w:tc>
      <w:tc>
        <w:tcPr>
          <w:tcW w:w="6308" w:type="dxa"/>
          <w:tcBorders>
            <w:top w:val="nil"/>
            <w:left w:val="nil"/>
            <w:bottom w:val="nil"/>
            <w:right w:val="nil"/>
          </w:tcBorders>
        </w:tcPr>
        <w:p>
          <w:pPr>
            <w:widowControl/>
            <w:suppressAutoHyphens/>
            <w:spacing w:before="0" w:after="0" w:line="240" w:lineRule="auto"/>
            <w:jc w:val="right"/>
            <w:rPr>
              <w:rFonts w:ascii="Arial" w:hAnsi="Arial" w:cs="Arial"/>
              <w:sz w:val="24"/>
              <w:szCs w:val="24"/>
            </w:rPr>
          </w:pPr>
          <w:r>
            <w:rPr>
              <w:rFonts w:ascii="Arial" w:hAnsi="Arial" w:eastAsia="Calibri" w:cs="Arial"/>
              <w:kern w:val="0"/>
              <w:sz w:val="24"/>
              <w:szCs w:val="24"/>
              <w:lang w:val="pt-BR" w:eastAsia="en-US" w:bidi="ar-SA"/>
            </w:rPr>
            <w:t xml:space="preserve">(Fl. </w:t>
          </w:r>
          <w:r>
            <w:rPr>
              <w:rFonts w:ascii="Arial" w:hAnsi="Arial" w:eastAsia="Calibri" w:cs="Arial"/>
              <w:kern w:val="0"/>
              <w:sz w:val="24"/>
              <w:szCs w:val="24"/>
              <w:lang w:val="pt-BR" w:eastAsia="en-US" w:bidi="ar-SA"/>
            </w:rPr>
            <w:fldChar w:fldCharType="begin"/>
          </w:r>
          <w:r>
            <w:rPr>
              <w:rFonts w:ascii="Arial" w:hAnsi="Arial" w:eastAsia="Calibri" w:cs="Arial"/>
              <w:kern w:val="0"/>
              <w:sz w:val="24"/>
              <w:szCs w:val="24"/>
              <w:lang w:val="pt-BR" w:eastAsia="en-US" w:bidi="ar-SA"/>
            </w:rPr>
            <w:instrText xml:space="preserve"> PAGE </w:instrText>
          </w:r>
          <w:r>
            <w:rPr>
              <w:rFonts w:ascii="Arial" w:hAnsi="Arial" w:eastAsia="Calibri" w:cs="Arial"/>
              <w:kern w:val="0"/>
              <w:sz w:val="24"/>
              <w:szCs w:val="24"/>
              <w:lang w:val="pt-BR" w:eastAsia="en-US" w:bidi="ar-SA"/>
            </w:rPr>
            <w:fldChar w:fldCharType="separate"/>
          </w:r>
          <w:r>
            <w:rPr>
              <w:rFonts w:ascii="Arial" w:hAnsi="Arial" w:eastAsia="Calibri" w:cs="Arial"/>
              <w:kern w:val="0"/>
              <w:sz w:val="24"/>
              <w:szCs w:val="24"/>
              <w:lang w:val="pt-BR" w:eastAsia="en-US" w:bidi="ar-SA"/>
            </w:rPr>
            <w:t>1</w:t>
          </w:r>
          <w:r>
            <w:rPr>
              <w:rFonts w:ascii="Arial" w:hAnsi="Arial" w:eastAsia="Calibri" w:cs="Arial"/>
              <w:kern w:val="0"/>
              <w:sz w:val="24"/>
              <w:szCs w:val="24"/>
              <w:lang w:val="pt-BR" w:eastAsia="en-US" w:bidi="ar-SA"/>
            </w:rPr>
            <w:fldChar w:fldCharType="end"/>
          </w:r>
          <w:r>
            <w:rPr>
              <w:rFonts w:ascii="Arial" w:hAnsi="Arial" w:eastAsia="Calibri" w:cs="Arial"/>
              <w:kern w:val="0"/>
              <w:sz w:val="24"/>
              <w:szCs w:val="24"/>
              <w:lang w:val="pt-BR" w:eastAsia="en-US" w:bidi="ar-SA"/>
            </w:rPr>
            <w:t xml:space="preserve"> de </w:t>
          </w:r>
          <w:r>
            <w:rPr>
              <w:rFonts w:ascii="Arial" w:hAnsi="Arial" w:eastAsia="Calibri" w:cs="Arial"/>
              <w:kern w:val="0"/>
              <w:sz w:val="24"/>
              <w:szCs w:val="24"/>
              <w:lang w:val="pt-BR" w:eastAsia="en-US" w:bidi="ar-SA"/>
            </w:rPr>
            <w:fldChar w:fldCharType="begin"/>
          </w:r>
          <w:r>
            <w:rPr>
              <w:rFonts w:ascii="Arial" w:hAnsi="Arial" w:eastAsia="Calibri" w:cs="Arial"/>
              <w:kern w:val="0"/>
              <w:sz w:val="24"/>
              <w:szCs w:val="24"/>
              <w:lang w:val="pt-BR" w:eastAsia="en-US" w:bidi="ar-SA"/>
            </w:rPr>
            <w:instrText xml:space="preserve"> NUMPAGES </w:instrText>
          </w:r>
          <w:r>
            <w:rPr>
              <w:rFonts w:ascii="Arial" w:hAnsi="Arial" w:eastAsia="Calibri" w:cs="Arial"/>
              <w:kern w:val="0"/>
              <w:sz w:val="24"/>
              <w:szCs w:val="24"/>
              <w:lang w:val="pt-BR" w:eastAsia="en-US" w:bidi="ar-SA"/>
            </w:rPr>
            <w:fldChar w:fldCharType="separate"/>
          </w:r>
          <w:r>
            <w:rPr>
              <w:rFonts w:ascii="Arial" w:hAnsi="Arial" w:eastAsia="Calibri" w:cs="Arial"/>
              <w:kern w:val="0"/>
              <w:sz w:val="24"/>
              <w:szCs w:val="24"/>
              <w:lang w:val="pt-BR" w:eastAsia="en-US" w:bidi="ar-SA"/>
            </w:rPr>
            <w:t>70</w:t>
          </w:r>
          <w:r>
            <w:rPr>
              <w:rFonts w:ascii="Arial" w:hAnsi="Arial" w:eastAsia="Calibri" w:cs="Arial"/>
              <w:kern w:val="0"/>
              <w:sz w:val="24"/>
              <w:szCs w:val="24"/>
              <w:lang w:val="pt-BR" w:eastAsia="en-US" w:bidi="ar-SA"/>
            </w:rPr>
            <w:fldChar w:fldCharType="end"/>
          </w:r>
          <w:r>
            <w:rPr>
              <w:rFonts w:ascii="Arial" w:hAnsi="Arial" w:eastAsia="Calibri" w:cs="Arial"/>
              <w:kern w:val="0"/>
              <w:sz w:val="24"/>
              <w:szCs w:val="24"/>
              <w:lang w:val="pt-BR" w:eastAsia="en-US" w:bidi="ar-SA"/>
            </w:rPr>
            <w:t xml:space="preserve"> do Edital do Pregão nº </w:t>
          </w:r>
          <w:r>
            <w:rPr>
              <w:rFonts w:ascii="Arial" w:hAnsi="Arial" w:cs="Arial" w:eastAsiaTheme="minorHAnsi"/>
              <w:kern w:val="0"/>
              <w:sz w:val="24"/>
              <w:szCs w:val="24"/>
              <w:shd w:val="clear" w:fill="auto"/>
              <w:lang w:val="pt-BR" w:eastAsia="en-US" w:bidi="ar-SA"/>
            </w:rPr>
            <w:t xml:space="preserve">004, </w:t>
          </w:r>
          <w:r>
            <w:rPr>
              <w:rFonts w:ascii="Arial" w:hAnsi="Arial" w:eastAsia="Calibri" w:cs="Arial"/>
              <w:kern w:val="0"/>
              <w:sz w:val="24"/>
              <w:szCs w:val="24"/>
              <w:lang w:val="pt-BR" w:eastAsia="en-US" w:bidi="ar-SA"/>
            </w:rPr>
            <w:t>de 2024)</w:t>
          </w:r>
        </w:p>
        <w:p>
          <w:pPr>
            <w:widowControl/>
            <w:suppressAutoHyphens/>
            <w:spacing w:before="0" w:after="0" w:line="240" w:lineRule="auto"/>
            <w:jc w:val="center"/>
            <w:rPr>
              <w:rFonts w:ascii="Times New Roman" w:hAnsi="Times New Roman" w:cs="Times New Roman"/>
              <w:sz w:val="24"/>
              <w:szCs w:val="24"/>
            </w:rPr>
          </w:pPr>
        </w:p>
      </w:tc>
    </w:tr>
  </w:tbl>
  <w:p>
    <w:pPr>
      <w:spacing w:before="0" w:after="2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6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8" w:type="dxa"/>
          <w:tcBorders>
            <w:top w:val="nil"/>
            <w:left w:val="nil"/>
            <w:bottom w:val="nil"/>
            <w:right w:val="nil"/>
          </w:tcBorders>
        </w:tcPr>
        <w:p>
          <w:pPr>
            <w:widowControl/>
            <w:suppressAutoHyphens/>
            <w:spacing w:before="0" w:after="0" w:line="240" w:lineRule="auto"/>
            <w:jc w:val="center"/>
            <w:rPr>
              <w:rFonts w:ascii="Times New Roman" w:hAnsi="Times New Roman" w:cs="Times New Roman"/>
              <w:sz w:val="24"/>
              <w:szCs w:val="24"/>
            </w:rPr>
          </w:pPr>
          <w:r>
            <w:drawing>
              <wp:inline distT="0" distB="0" distL="0" distR="0">
                <wp:extent cx="1612900" cy="596900"/>
                <wp:effectExtent l="0" t="0" r="0" b="0"/>
                <wp:docPr id="1" name="_x005F_x0000_s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5F_x0000_s2050"/>
                        <pic:cNvPicPr>
                          <a:picLocks noChangeAspect="1" noChangeArrowheads="1"/>
                        </pic:cNvPicPr>
                      </pic:nvPicPr>
                      <pic:blipFill>
                        <a:blip r:embed="rId1"/>
                        <a:stretch>
                          <a:fillRect/>
                        </a:stretch>
                      </pic:blipFill>
                      <pic:spPr>
                        <a:xfrm>
                          <a:off x="0" y="0"/>
                          <a:ext cx="1612900" cy="596900"/>
                        </a:xfrm>
                        <a:prstGeom prst="rect">
                          <a:avLst/>
                        </a:prstGeom>
                      </pic:spPr>
                    </pic:pic>
                  </a:graphicData>
                </a:graphic>
              </wp:inline>
            </w:drawing>
          </w:r>
        </w:p>
      </w:tc>
      <w:tc>
        <w:tcPr>
          <w:tcW w:w="6308" w:type="dxa"/>
          <w:tcBorders>
            <w:top w:val="nil"/>
            <w:left w:val="nil"/>
            <w:bottom w:val="nil"/>
            <w:right w:val="nil"/>
          </w:tcBorders>
          <w:shd w:val="clear" w:color="auto" w:fill="DDDDDD"/>
        </w:tcPr>
        <w:p>
          <w:pPr>
            <w:widowControl/>
            <w:suppressAutoHyphens/>
            <w:spacing w:before="0" w:after="0" w:line="240" w:lineRule="auto"/>
            <w:jc w:val="right"/>
            <w:rPr>
              <w:rFonts w:ascii="Times New Roman" w:hAnsi="Times New Roman" w:eastAsia="Calibri"/>
              <w:kern w:val="0"/>
              <w:sz w:val="22"/>
              <w:szCs w:val="22"/>
              <w:lang w:val="pt-BR" w:eastAsia="en-US" w:bidi="ar-SA"/>
            </w:rPr>
          </w:pPr>
          <w:r>
            <w:rPr>
              <w:rFonts w:ascii="Times New Roman" w:hAnsi="Times New Roman" w:eastAsia="Calibri" w:cs="Arial"/>
              <w:kern w:val="0"/>
              <w:sz w:val="24"/>
              <w:szCs w:val="24"/>
              <w:lang w:val="pt-BR" w:eastAsia="en-US" w:bidi="ar-SA"/>
            </w:rPr>
            <w:t xml:space="preserve">(Fl. </w:t>
          </w:r>
          <w:r>
            <w:rPr>
              <w:rFonts w:ascii="Times New Roman" w:hAnsi="Times New Roman" w:eastAsia="Calibri" w:cs="Arial"/>
              <w:kern w:val="0"/>
              <w:sz w:val="24"/>
              <w:szCs w:val="24"/>
              <w:lang w:val="pt-BR" w:eastAsia="en-US" w:bidi="ar-SA"/>
            </w:rPr>
            <w:fldChar w:fldCharType="begin"/>
          </w:r>
          <w:r>
            <w:rPr>
              <w:rFonts w:ascii="Times New Roman" w:hAnsi="Times New Roman" w:eastAsia="Calibri" w:cs="Arial"/>
              <w:kern w:val="0"/>
              <w:sz w:val="24"/>
              <w:szCs w:val="24"/>
              <w:lang w:val="pt-BR" w:eastAsia="en-US" w:bidi="ar-SA"/>
            </w:rPr>
            <w:instrText xml:space="preserve"> PAGE </w:instrText>
          </w:r>
          <w:r>
            <w:rPr>
              <w:rFonts w:ascii="Times New Roman" w:hAnsi="Times New Roman" w:eastAsia="Calibri" w:cs="Arial"/>
              <w:kern w:val="0"/>
              <w:sz w:val="24"/>
              <w:szCs w:val="24"/>
              <w:lang w:val="pt-BR" w:eastAsia="en-US" w:bidi="ar-SA"/>
            </w:rPr>
            <w:fldChar w:fldCharType="separate"/>
          </w:r>
          <w:r>
            <w:rPr>
              <w:rFonts w:ascii="Times New Roman" w:hAnsi="Times New Roman" w:eastAsia="Calibri" w:cs="Arial"/>
              <w:kern w:val="0"/>
              <w:sz w:val="24"/>
              <w:szCs w:val="24"/>
              <w:lang w:val="pt-BR" w:eastAsia="en-US" w:bidi="ar-SA"/>
            </w:rPr>
            <w:t>70</w:t>
          </w:r>
          <w:r>
            <w:rPr>
              <w:rFonts w:ascii="Times New Roman" w:hAnsi="Times New Roman" w:eastAsia="Calibri" w:cs="Arial"/>
              <w:kern w:val="0"/>
              <w:sz w:val="24"/>
              <w:szCs w:val="24"/>
              <w:lang w:val="pt-BR" w:eastAsia="en-US" w:bidi="ar-SA"/>
            </w:rPr>
            <w:fldChar w:fldCharType="end"/>
          </w:r>
          <w:r>
            <w:rPr>
              <w:rFonts w:ascii="Times New Roman" w:hAnsi="Times New Roman" w:eastAsia="Calibri" w:cs="Arial"/>
              <w:kern w:val="0"/>
              <w:sz w:val="24"/>
              <w:szCs w:val="24"/>
              <w:lang w:val="pt-BR" w:eastAsia="en-US" w:bidi="ar-SA"/>
            </w:rPr>
            <w:t xml:space="preserve"> de </w:t>
          </w:r>
          <w:r>
            <w:rPr>
              <w:rFonts w:ascii="Times New Roman" w:hAnsi="Times New Roman" w:eastAsia="Calibri" w:cs="Arial"/>
              <w:kern w:val="0"/>
              <w:sz w:val="24"/>
              <w:szCs w:val="24"/>
              <w:lang w:val="pt-BR" w:eastAsia="en-US" w:bidi="ar-SA"/>
            </w:rPr>
            <w:fldChar w:fldCharType="begin"/>
          </w:r>
          <w:r>
            <w:rPr>
              <w:rFonts w:ascii="Times New Roman" w:hAnsi="Times New Roman" w:eastAsia="Calibri" w:cs="Arial"/>
              <w:kern w:val="0"/>
              <w:sz w:val="24"/>
              <w:szCs w:val="24"/>
              <w:lang w:val="pt-BR" w:eastAsia="en-US" w:bidi="ar-SA"/>
            </w:rPr>
            <w:instrText xml:space="preserve"> NUMPAGES </w:instrText>
          </w:r>
          <w:r>
            <w:rPr>
              <w:rFonts w:ascii="Times New Roman" w:hAnsi="Times New Roman" w:eastAsia="Calibri" w:cs="Arial"/>
              <w:kern w:val="0"/>
              <w:sz w:val="24"/>
              <w:szCs w:val="24"/>
              <w:lang w:val="pt-BR" w:eastAsia="en-US" w:bidi="ar-SA"/>
            </w:rPr>
            <w:fldChar w:fldCharType="separate"/>
          </w:r>
          <w:r>
            <w:rPr>
              <w:rFonts w:ascii="Times New Roman" w:hAnsi="Times New Roman" w:eastAsia="Calibri" w:cs="Arial"/>
              <w:kern w:val="0"/>
              <w:sz w:val="24"/>
              <w:szCs w:val="24"/>
              <w:lang w:val="pt-BR" w:eastAsia="en-US" w:bidi="ar-SA"/>
            </w:rPr>
            <w:t>70</w:t>
          </w:r>
          <w:r>
            <w:rPr>
              <w:rFonts w:ascii="Times New Roman" w:hAnsi="Times New Roman" w:eastAsia="Calibri" w:cs="Arial"/>
              <w:kern w:val="0"/>
              <w:sz w:val="24"/>
              <w:szCs w:val="24"/>
              <w:lang w:val="pt-BR" w:eastAsia="en-US" w:bidi="ar-SA"/>
            </w:rPr>
            <w:fldChar w:fldCharType="end"/>
          </w:r>
          <w:r>
            <w:rPr>
              <w:rFonts w:ascii="Times New Roman" w:hAnsi="Times New Roman" w:eastAsia="Calibri" w:cs="Arial"/>
              <w:kern w:val="0"/>
              <w:sz w:val="24"/>
              <w:szCs w:val="24"/>
              <w:lang w:val="pt-BR" w:eastAsia="en-US" w:bidi="ar-SA"/>
            </w:rPr>
            <w:t xml:space="preserve"> do Edital do Pregão Eletrônico n</w:t>
          </w:r>
          <w:r>
            <w:rPr>
              <w:rFonts w:ascii="Times New Roman" w:hAnsi="Times New Roman" w:eastAsia="Calibri" w:cs="Arial"/>
              <w:color w:val="auto"/>
              <w:kern w:val="0"/>
              <w:sz w:val="24"/>
              <w:szCs w:val="24"/>
              <w:lang w:val="pt-BR" w:eastAsia="en-US" w:bidi="ar-SA"/>
            </w:rPr>
            <w:t xml:space="preserve">º </w:t>
          </w:r>
          <w:r>
            <w:rPr>
              <w:rFonts w:ascii="Times New Roman" w:hAnsi="Times New Roman" w:cs="Arial" w:eastAsiaTheme="minorHAnsi"/>
              <w:color w:val="000000"/>
              <w:kern w:val="0"/>
              <w:sz w:val="24"/>
              <w:szCs w:val="24"/>
              <w:shd w:val="clear" w:fill="auto"/>
              <w:lang w:val="pt-BR" w:eastAsia="en-US" w:bidi="ar-SA"/>
            </w:rPr>
            <w:t>004</w:t>
          </w:r>
          <w:r>
            <w:rPr>
              <w:rFonts w:ascii="Times New Roman" w:hAnsi="Times New Roman" w:cs="Arial"/>
              <w:color w:val="000000"/>
              <w:kern w:val="0"/>
              <w:sz w:val="24"/>
              <w:szCs w:val="24"/>
              <w:shd w:val="clear" w:fill="auto"/>
              <w:lang w:val="pt-BR" w:eastAsia="en-US" w:bidi="ar-SA"/>
            </w:rPr>
            <w:t>/</w:t>
          </w:r>
          <w:r>
            <w:rPr>
              <w:rFonts w:ascii="Times New Roman" w:hAnsi="Times New Roman" w:eastAsia="Calibri" w:cs="Arial"/>
              <w:kern w:val="0"/>
              <w:sz w:val="24"/>
              <w:szCs w:val="24"/>
              <w:lang w:val="pt-BR" w:eastAsia="en-US" w:bidi="ar-SA"/>
            </w:rPr>
            <w:t>2024)</w:t>
          </w:r>
        </w:p>
        <w:p>
          <w:pPr>
            <w:widowControl/>
            <w:suppressAutoHyphens/>
            <w:spacing w:before="0" w:after="0" w:line="240" w:lineRule="auto"/>
            <w:jc w:val="center"/>
            <w:rPr>
              <w:rFonts w:ascii="Times New Roman" w:hAnsi="Times New Roman" w:cs="Times New Roman"/>
              <w:sz w:val="24"/>
              <w:szCs w:val="24"/>
            </w:rPr>
          </w:pPr>
        </w:p>
      </w:tc>
    </w:tr>
  </w:tbl>
  <w:p>
    <w:pPr>
      <w:spacing w:before="0" w:after="0" w:line="240" w:lineRule="auto"/>
      <w:jc w:val="both"/>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
    <w:nsid w:val="B5E306ED"/>
    <w:multiLevelType w:val="multilevel"/>
    <w:tmpl w:val="B5E306ED"/>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2">
    <w:nsid w:val="BF205925"/>
    <w:multiLevelType w:val="multilevel"/>
    <w:tmpl w:val="BF205925"/>
    <w:lvl w:ilvl="0" w:tentative="0">
      <w:start w:val="1"/>
      <w:numFmt w:val="bullet"/>
      <w:pStyle w:val="99"/>
      <w:lvlText w:val=""/>
      <w:lvlJc w:val="left"/>
      <w:pPr>
        <w:tabs>
          <w:tab w:val="left" w:pos="720"/>
        </w:tabs>
        <w:ind w:left="720" w:hanging="360"/>
      </w:pPr>
      <w:rPr>
        <w:rFonts w:hint="default" w:ascii="Symbol" w:hAnsi="Symbol" w:cs="Symbol"/>
        <w:sz w:val="20"/>
      </w:rPr>
    </w:lvl>
    <w:lvl w:ilvl="1" w:tentative="0">
      <w:start w:val="1"/>
      <w:numFmt w:val="bullet"/>
      <w:pStyle w:val="67"/>
      <w:lvlText w:val=""/>
      <w:lvlJc w:val="left"/>
      <w:pPr>
        <w:tabs>
          <w:tab w:val="left" w:pos="1440"/>
        </w:tabs>
        <w:ind w:left="1440" w:hanging="360"/>
      </w:pPr>
      <w:rPr>
        <w:rFonts w:hint="default" w:ascii="Symbol" w:hAnsi="Symbol" w:cs="Symbol"/>
        <w:sz w:val="20"/>
      </w:rPr>
    </w:lvl>
    <w:lvl w:ilvl="2" w:tentative="0">
      <w:start w:val="1"/>
      <w:numFmt w:val="bullet"/>
      <w:pStyle w:val="75"/>
      <w:lvlText w:val=""/>
      <w:lvlJc w:val="left"/>
      <w:pPr>
        <w:tabs>
          <w:tab w:val="left" w:pos="2160"/>
        </w:tabs>
        <w:ind w:left="2160" w:hanging="360"/>
      </w:pPr>
      <w:rPr>
        <w:rFonts w:hint="default" w:ascii="Symbol" w:hAnsi="Symbol" w:cs="Symbol"/>
        <w:sz w:val="20"/>
      </w:rPr>
    </w:lvl>
    <w:lvl w:ilvl="3" w:tentative="0">
      <w:start w:val="1"/>
      <w:numFmt w:val="bullet"/>
      <w:pStyle w:val="120"/>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C8879AEF"/>
    <w:multiLevelType w:val="multilevel"/>
    <w:tmpl w:val="C8879AEF"/>
    <w:lvl w:ilvl="0" w:tentative="0">
      <w:start w:val="1"/>
      <w:numFmt w:val="bullet"/>
      <w:lvlText w:val=""/>
      <w:lvlJc w:val="left"/>
      <w:pPr>
        <w:tabs>
          <w:tab w:val="left" w:pos="720"/>
        </w:tabs>
        <w:ind w:left="720" w:hanging="360"/>
      </w:pPr>
      <w:rPr>
        <w:rFonts w:hint="default" w:ascii="Symbol" w:hAnsi="Symbol" w:cs="Symbol"/>
      </w:rPr>
    </w:lvl>
    <w:lvl w:ilvl="1" w:tentative="0">
      <w:start w:val="1"/>
      <w:numFmt w:val="bullet"/>
      <w:lvlText w:val="◦"/>
      <w:lvlJc w:val="left"/>
      <w:pPr>
        <w:tabs>
          <w:tab w:val="left" w:pos="1080"/>
        </w:tabs>
        <w:ind w:left="1080" w:hanging="360"/>
      </w:pPr>
      <w:rPr>
        <w:rFonts w:hint="default" w:ascii="OpenSymbol" w:hAnsi="OpenSymbol" w:cs="OpenSymbol"/>
      </w:rPr>
    </w:lvl>
    <w:lvl w:ilvl="2" w:tentative="0">
      <w:start w:val="1"/>
      <w:numFmt w:val="bullet"/>
      <w:lvlText w:val="▪"/>
      <w:lvlJc w:val="left"/>
      <w:pPr>
        <w:tabs>
          <w:tab w:val="left" w:pos="1440"/>
        </w:tabs>
        <w:ind w:left="1440" w:hanging="360"/>
      </w:pPr>
      <w:rPr>
        <w:rFonts w:hint="default" w:ascii="OpenSymbol" w:hAnsi="OpenSymbol" w:cs="OpenSymbol"/>
      </w:rPr>
    </w:lvl>
    <w:lvl w:ilvl="3" w:tentative="0">
      <w:start w:val="1"/>
      <w:numFmt w:val="bullet"/>
      <w:lvlText w:val=""/>
      <w:lvlJc w:val="left"/>
      <w:pPr>
        <w:tabs>
          <w:tab w:val="left" w:pos="1800"/>
        </w:tabs>
        <w:ind w:left="1800" w:hanging="360"/>
      </w:pPr>
      <w:rPr>
        <w:rFonts w:hint="default" w:ascii="Symbol" w:hAnsi="Symbol" w:cs="Symbol"/>
      </w:rPr>
    </w:lvl>
    <w:lvl w:ilvl="4" w:tentative="0">
      <w:start w:val="1"/>
      <w:numFmt w:val="bullet"/>
      <w:lvlText w:val="◦"/>
      <w:lvlJc w:val="left"/>
      <w:pPr>
        <w:tabs>
          <w:tab w:val="left" w:pos="2160"/>
        </w:tabs>
        <w:ind w:left="2160" w:hanging="360"/>
      </w:pPr>
      <w:rPr>
        <w:rFonts w:hint="default" w:ascii="OpenSymbol" w:hAnsi="OpenSymbol" w:cs="OpenSymbol"/>
      </w:rPr>
    </w:lvl>
    <w:lvl w:ilvl="5" w:tentative="0">
      <w:start w:val="1"/>
      <w:numFmt w:val="bullet"/>
      <w:lvlText w:val="▪"/>
      <w:lvlJc w:val="left"/>
      <w:pPr>
        <w:tabs>
          <w:tab w:val="left" w:pos="2520"/>
        </w:tabs>
        <w:ind w:left="2520" w:hanging="360"/>
      </w:pPr>
      <w:rPr>
        <w:rFonts w:hint="default" w:ascii="OpenSymbol" w:hAnsi="OpenSymbol" w:cs="OpenSymbol"/>
      </w:rPr>
    </w:lvl>
    <w:lvl w:ilvl="6" w:tentative="0">
      <w:start w:val="1"/>
      <w:numFmt w:val="bullet"/>
      <w:lvlText w:val=""/>
      <w:lvlJc w:val="left"/>
      <w:pPr>
        <w:tabs>
          <w:tab w:val="left" w:pos="2880"/>
        </w:tabs>
        <w:ind w:left="2880" w:hanging="360"/>
      </w:pPr>
      <w:rPr>
        <w:rFonts w:hint="default" w:ascii="Symbol" w:hAnsi="Symbol" w:cs="Symbol"/>
      </w:rPr>
    </w:lvl>
    <w:lvl w:ilvl="7" w:tentative="0">
      <w:start w:val="1"/>
      <w:numFmt w:val="bullet"/>
      <w:lvlText w:val="◦"/>
      <w:lvlJc w:val="left"/>
      <w:pPr>
        <w:tabs>
          <w:tab w:val="left" w:pos="3240"/>
        </w:tabs>
        <w:ind w:left="3240" w:hanging="360"/>
      </w:pPr>
      <w:rPr>
        <w:rFonts w:hint="default" w:ascii="OpenSymbol" w:hAnsi="OpenSymbol" w:cs="OpenSymbol"/>
      </w:rPr>
    </w:lvl>
    <w:lvl w:ilvl="8" w:tentative="0">
      <w:start w:val="1"/>
      <w:numFmt w:val="bullet"/>
      <w:lvlText w:val="▪"/>
      <w:lvlJc w:val="left"/>
      <w:pPr>
        <w:tabs>
          <w:tab w:val="left" w:pos="3600"/>
        </w:tabs>
        <w:ind w:left="3600" w:hanging="360"/>
      </w:pPr>
      <w:rPr>
        <w:rFonts w:hint="default" w:ascii="OpenSymbol" w:hAnsi="OpenSymbol" w:cs="OpenSymbol"/>
      </w:rPr>
    </w:lvl>
  </w:abstractNum>
  <w:abstractNum w:abstractNumId="4">
    <w:nsid w:val="CF092B84"/>
    <w:multiLevelType w:val="multilevel"/>
    <w:tmpl w:val="CF092B84"/>
    <w:lvl w:ilvl="0" w:tentative="0">
      <w:start w:val="1"/>
      <w:numFmt w:val="bullet"/>
      <w:pStyle w:val="27"/>
      <w:lvlText w:val=""/>
      <w:lvlJc w:val="left"/>
      <w:pPr>
        <w:tabs>
          <w:tab w:val="left" w:pos="1492"/>
        </w:tabs>
        <w:ind w:left="1492"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5">
    <w:nsid w:val="F4B5D9F5"/>
    <w:multiLevelType w:val="multilevel"/>
    <w:tmpl w:val="F4B5D9F5"/>
    <w:lvl w:ilvl="0" w:tentative="0">
      <w:start w:val="1"/>
      <w:numFmt w:val="bullet"/>
      <w:lvlText w:val=""/>
      <w:lvlJc w:val="left"/>
      <w:pPr>
        <w:tabs>
          <w:tab w:val="left" w:pos="720"/>
        </w:tabs>
        <w:ind w:left="720" w:hanging="360"/>
      </w:pPr>
      <w:rPr>
        <w:rFonts w:hint="default" w:ascii="Symbol" w:hAnsi="Symbol" w:cs="Symbol"/>
      </w:rPr>
    </w:lvl>
    <w:lvl w:ilvl="1" w:tentative="0">
      <w:start w:val="1"/>
      <w:numFmt w:val="bullet"/>
      <w:lvlText w:val="◦"/>
      <w:lvlJc w:val="left"/>
      <w:pPr>
        <w:tabs>
          <w:tab w:val="left" w:pos="1080"/>
        </w:tabs>
        <w:ind w:left="1080" w:hanging="360"/>
      </w:pPr>
      <w:rPr>
        <w:rFonts w:hint="default" w:ascii="OpenSymbol" w:hAnsi="OpenSymbol" w:cs="OpenSymbol"/>
      </w:rPr>
    </w:lvl>
    <w:lvl w:ilvl="2" w:tentative="0">
      <w:start w:val="1"/>
      <w:numFmt w:val="bullet"/>
      <w:lvlText w:val="▪"/>
      <w:lvlJc w:val="left"/>
      <w:pPr>
        <w:tabs>
          <w:tab w:val="left" w:pos="1440"/>
        </w:tabs>
        <w:ind w:left="1440" w:hanging="360"/>
      </w:pPr>
      <w:rPr>
        <w:rFonts w:hint="default" w:ascii="OpenSymbol" w:hAnsi="OpenSymbol" w:cs="OpenSymbol"/>
      </w:rPr>
    </w:lvl>
    <w:lvl w:ilvl="3" w:tentative="0">
      <w:start w:val="1"/>
      <w:numFmt w:val="bullet"/>
      <w:lvlText w:val=""/>
      <w:lvlJc w:val="left"/>
      <w:pPr>
        <w:tabs>
          <w:tab w:val="left" w:pos="1800"/>
        </w:tabs>
        <w:ind w:left="1800" w:hanging="360"/>
      </w:pPr>
      <w:rPr>
        <w:rFonts w:hint="default" w:ascii="Symbol" w:hAnsi="Symbol" w:cs="Symbol"/>
      </w:rPr>
    </w:lvl>
    <w:lvl w:ilvl="4" w:tentative="0">
      <w:start w:val="1"/>
      <w:numFmt w:val="bullet"/>
      <w:lvlText w:val="◦"/>
      <w:lvlJc w:val="left"/>
      <w:pPr>
        <w:tabs>
          <w:tab w:val="left" w:pos="2160"/>
        </w:tabs>
        <w:ind w:left="2160" w:hanging="360"/>
      </w:pPr>
      <w:rPr>
        <w:rFonts w:hint="default" w:ascii="OpenSymbol" w:hAnsi="OpenSymbol" w:cs="OpenSymbol"/>
      </w:rPr>
    </w:lvl>
    <w:lvl w:ilvl="5" w:tentative="0">
      <w:start w:val="1"/>
      <w:numFmt w:val="bullet"/>
      <w:lvlText w:val="▪"/>
      <w:lvlJc w:val="left"/>
      <w:pPr>
        <w:tabs>
          <w:tab w:val="left" w:pos="2520"/>
        </w:tabs>
        <w:ind w:left="2520" w:hanging="360"/>
      </w:pPr>
      <w:rPr>
        <w:rFonts w:hint="default" w:ascii="OpenSymbol" w:hAnsi="OpenSymbol" w:cs="OpenSymbol"/>
      </w:rPr>
    </w:lvl>
    <w:lvl w:ilvl="6" w:tentative="0">
      <w:start w:val="1"/>
      <w:numFmt w:val="bullet"/>
      <w:lvlText w:val=""/>
      <w:lvlJc w:val="left"/>
      <w:pPr>
        <w:tabs>
          <w:tab w:val="left" w:pos="2880"/>
        </w:tabs>
        <w:ind w:left="2880" w:hanging="360"/>
      </w:pPr>
      <w:rPr>
        <w:rFonts w:hint="default" w:ascii="Symbol" w:hAnsi="Symbol" w:cs="Symbol"/>
      </w:rPr>
    </w:lvl>
    <w:lvl w:ilvl="7" w:tentative="0">
      <w:start w:val="1"/>
      <w:numFmt w:val="bullet"/>
      <w:lvlText w:val="◦"/>
      <w:lvlJc w:val="left"/>
      <w:pPr>
        <w:tabs>
          <w:tab w:val="left" w:pos="3240"/>
        </w:tabs>
        <w:ind w:left="3240" w:hanging="360"/>
      </w:pPr>
      <w:rPr>
        <w:rFonts w:hint="default" w:ascii="OpenSymbol" w:hAnsi="OpenSymbol" w:cs="OpenSymbol"/>
      </w:rPr>
    </w:lvl>
    <w:lvl w:ilvl="8" w:tentative="0">
      <w:start w:val="1"/>
      <w:numFmt w:val="bullet"/>
      <w:lvlText w:val="▪"/>
      <w:lvlJc w:val="left"/>
      <w:pPr>
        <w:tabs>
          <w:tab w:val="left" w:pos="3600"/>
        </w:tabs>
        <w:ind w:left="3600" w:hanging="360"/>
      </w:pPr>
      <w:rPr>
        <w:rFonts w:hint="default" w:ascii="OpenSymbol" w:hAnsi="OpenSymbol" w:cs="OpenSymbol"/>
      </w:rPr>
    </w:lvl>
  </w:abstractNum>
  <w:abstractNum w:abstractNumId="6">
    <w:nsid w:val="0053208E"/>
    <w:multiLevelType w:val="multilevel"/>
    <w:tmpl w:val="0053208E"/>
    <w:lvl w:ilvl="0" w:tentative="0">
      <w:start w:val="1"/>
      <w:numFmt w:val="decimal"/>
      <w:pStyle w:val="2"/>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rPr>
        <w:rFonts w:ascii="Times New Roman" w:hAnsi="Times New Roman"/>
        <w:b/>
        <w:bCs/>
        <w:i w:val="0"/>
        <w:iCs w:val="0"/>
      </w:rPr>
    </w:lvl>
    <w:lvl w:ilvl="2" w:tentative="0">
      <w:start w:val="1"/>
      <w:numFmt w:val="lowerLetter"/>
      <w:lvlText w:val="%3)"/>
      <w:lvlJc w:val="left"/>
      <w:pPr>
        <w:tabs>
          <w:tab w:val="left" w:pos="0"/>
        </w:tabs>
        <w:ind w:left="1080" w:hanging="360"/>
      </w:pPr>
      <w:rPr>
        <w:rFonts w:ascii="Times New Roman" w:hAnsi="Times New Roman" w:cs="Times New Roman"/>
        <w:color w:val="auto"/>
      </w:r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7">
    <w:nsid w:val="0248C179"/>
    <w:multiLevelType w:val="multilevel"/>
    <w:tmpl w:val="0248C179"/>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8">
    <w:nsid w:val="03D62ECE"/>
    <w:multiLevelType w:val="multilevel"/>
    <w:tmpl w:val="03D62ECE"/>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9">
    <w:nsid w:val="063F5B90"/>
    <w:multiLevelType w:val="multilevel"/>
    <w:tmpl w:val="063F5B90"/>
    <w:lvl w:ilvl="0" w:tentative="0">
      <w:start w:val="1"/>
      <w:numFmt w:val="decimal"/>
      <w:lvlText w:val="%1."/>
      <w:lvlJc w:val="left"/>
      <w:pPr>
        <w:ind w:left="360" w:hanging="360"/>
      </w:pPr>
      <w:rPr>
        <w:b/>
        <w:bCs/>
      </w:rPr>
    </w:lvl>
    <w:lvl w:ilvl="1" w:tentative="0">
      <w:start w:val="1"/>
      <w:numFmt w:val="decimal"/>
      <w:lvlText w:val="%1.%2."/>
      <w:lvlJc w:val="left"/>
      <w:pPr>
        <w:ind w:left="792" w:hanging="432"/>
      </w:pPr>
      <w:rPr>
        <w:rFonts w:hint="default"/>
        <w:b/>
        <w:bCs/>
        <w:i w:val="0"/>
        <w:iCs w:val="0"/>
      </w:rPr>
    </w:lvl>
    <w:lvl w:ilvl="2" w:tentative="0">
      <w:start w:val="1"/>
      <w:numFmt w:val="lowerLetter"/>
      <w:lvlText w:val="%3)"/>
      <w:lvlJc w:val="left"/>
      <w:pPr>
        <w:ind w:left="1080" w:hanging="360"/>
      </w:pPr>
      <w:rPr>
        <w:rFonts w:hint="default" w:ascii="Times New Roman" w:hAnsi="Times New Roman" w:cs="Times New Roman"/>
        <w:color w:val="auto"/>
      </w:rPr>
    </w:lvl>
    <w:lvl w:ilvl="3" w:tentative="0">
      <w:start w:val="1"/>
      <w:numFmt w:val="lowerRoman"/>
      <w:lvlText w:val="%4."/>
      <w:lvlJc w:val="right"/>
      <w:pPr>
        <w:ind w:left="1440" w:hanging="360"/>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0">
    <w:nsid w:val="2470EC97"/>
    <w:multiLevelType w:val="multilevel"/>
    <w:tmpl w:val="2470EC97"/>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rPr>
        <w:rFonts w:ascii="Times New Roman" w:hAnsi="Times New Roman"/>
        <w:b/>
        <w:bCs/>
      </w:rPr>
    </w:lvl>
    <w:lvl w:ilvl="2" w:tentative="0">
      <w:start w:val="1"/>
      <w:numFmt w:val="lowerLetter"/>
      <w:lvlText w:val="%3)"/>
      <w:lvlJc w:val="left"/>
      <w:pPr>
        <w:tabs>
          <w:tab w:val="left" w:pos="0"/>
        </w:tabs>
        <w:ind w:left="1080" w:hanging="360"/>
      </w:pPr>
    </w:lvl>
    <w:lvl w:ilvl="3" w:tentative="0">
      <w:start w:val="1"/>
      <w:numFmt w:val="decimal"/>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1">
    <w:nsid w:val="25B654F3"/>
    <w:multiLevelType w:val="multilevel"/>
    <w:tmpl w:val="25B654F3"/>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2">
    <w:nsid w:val="2A8F537B"/>
    <w:multiLevelType w:val="multilevel"/>
    <w:tmpl w:val="2A8F537B"/>
    <w:lvl w:ilvl="0" w:tentative="0">
      <w:start w:val="1"/>
      <w:numFmt w:val="decimal"/>
      <w:lvlText w:val="%1."/>
      <w:lvlJc w:val="left"/>
      <w:pPr>
        <w:tabs>
          <w:tab w:val="left" w:pos="0"/>
        </w:tabs>
        <w:ind w:left="720" w:hanging="360"/>
      </w:pPr>
      <w:rPr>
        <w:b/>
        <w:bCs/>
      </w:rPr>
    </w:lvl>
    <w:lvl w:ilvl="1" w:tentative="0">
      <w:start w:val="1"/>
      <w:numFmt w:val="decimal"/>
      <w:lvlText w:val="%1.%2"/>
      <w:lvlJc w:val="left"/>
      <w:pPr>
        <w:tabs>
          <w:tab w:val="left" w:pos="0"/>
        </w:tabs>
        <w:ind w:left="720" w:hanging="360"/>
      </w:pPr>
      <w:rPr>
        <w:rFonts w:ascii="Times New Roman" w:hAnsi="Times New Roman"/>
        <w:b/>
        <w:bCs/>
        <w:i w:val="0"/>
        <w:iCs w:val="0"/>
      </w:rPr>
    </w:lvl>
    <w:lvl w:ilvl="2" w:tentative="0">
      <w:start w:val="1"/>
      <w:numFmt w:val="decimal"/>
      <w:lvlText w:val="%1.%2.%3"/>
      <w:lvlJc w:val="left"/>
      <w:pPr>
        <w:tabs>
          <w:tab w:val="left" w:pos="0"/>
        </w:tabs>
        <w:ind w:left="1080" w:hanging="720"/>
      </w:pPr>
      <w:rPr>
        <w:rFonts w:ascii="Times New Roman" w:hAnsi="Times New Roman" w:cs="Times New Roman"/>
        <w:color w:val="auto"/>
      </w:rPr>
    </w:lvl>
    <w:lvl w:ilvl="3" w:tentative="0">
      <w:start w:val="1"/>
      <w:numFmt w:val="decimal"/>
      <w:lvlText w:val="%1.%2.%3.%4"/>
      <w:lvlJc w:val="left"/>
      <w:pPr>
        <w:tabs>
          <w:tab w:val="left" w:pos="0"/>
        </w:tabs>
        <w:ind w:left="1080" w:hanging="720"/>
      </w:pPr>
    </w:lvl>
    <w:lvl w:ilvl="4" w:tentative="0">
      <w:start w:val="1"/>
      <w:numFmt w:val="decimal"/>
      <w:lvlText w:val="%1.%2.%3.%4.%5"/>
      <w:lvlJc w:val="left"/>
      <w:pPr>
        <w:tabs>
          <w:tab w:val="left" w:pos="0"/>
        </w:tabs>
        <w:ind w:left="1440" w:hanging="1080"/>
      </w:pPr>
    </w:lvl>
    <w:lvl w:ilvl="5" w:tentative="0">
      <w:start w:val="1"/>
      <w:numFmt w:val="decimal"/>
      <w:lvlText w:val="%1.%2.%3.%4.%5.%6"/>
      <w:lvlJc w:val="left"/>
      <w:pPr>
        <w:tabs>
          <w:tab w:val="left" w:pos="0"/>
        </w:tabs>
        <w:ind w:left="1440" w:hanging="1080"/>
      </w:pPr>
    </w:lvl>
    <w:lvl w:ilvl="6" w:tentative="0">
      <w:start w:val="1"/>
      <w:numFmt w:val="decimal"/>
      <w:lvlText w:val="%1.%2.%3.%4.%5.%6.%7"/>
      <w:lvlJc w:val="left"/>
      <w:pPr>
        <w:tabs>
          <w:tab w:val="left" w:pos="0"/>
        </w:tabs>
        <w:ind w:left="1800" w:hanging="1440"/>
      </w:pPr>
    </w:lvl>
    <w:lvl w:ilvl="7" w:tentative="0">
      <w:start w:val="1"/>
      <w:numFmt w:val="decimal"/>
      <w:lvlText w:val="%1.%2.%3.%4.%5.%6.%7.%8"/>
      <w:lvlJc w:val="left"/>
      <w:pPr>
        <w:tabs>
          <w:tab w:val="left" w:pos="0"/>
        </w:tabs>
        <w:ind w:left="1800" w:hanging="1440"/>
      </w:pPr>
    </w:lvl>
    <w:lvl w:ilvl="8" w:tentative="0">
      <w:start w:val="1"/>
      <w:numFmt w:val="decimal"/>
      <w:lvlText w:val="%1.%2.%3.%4.%5.%6.%7.%8.%9"/>
      <w:lvlJc w:val="left"/>
      <w:pPr>
        <w:tabs>
          <w:tab w:val="left" w:pos="0"/>
        </w:tabs>
        <w:ind w:left="1800" w:hanging="1440"/>
      </w:pPr>
    </w:lvl>
  </w:abstractNum>
  <w:abstractNum w:abstractNumId="13">
    <w:nsid w:val="4D4DC07F"/>
    <w:multiLevelType w:val="multilevel"/>
    <w:tmpl w:val="4D4DC07F"/>
    <w:lvl w:ilvl="0" w:tentative="0">
      <w:start w:val="1"/>
      <w:numFmt w:val="bullet"/>
      <w:lvlText w:val=""/>
      <w:lvlJc w:val="left"/>
      <w:pPr>
        <w:tabs>
          <w:tab w:val="left" w:pos="720"/>
        </w:tabs>
        <w:ind w:left="720" w:hanging="360"/>
      </w:pPr>
      <w:rPr>
        <w:rFonts w:hint="default" w:ascii="Symbol" w:hAnsi="Symbol" w:cs="Symbol"/>
      </w:rPr>
    </w:lvl>
    <w:lvl w:ilvl="1" w:tentative="0">
      <w:start w:val="1"/>
      <w:numFmt w:val="bullet"/>
      <w:lvlText w:val="◦"/>
      <w:lvlJc w:val="left"/>
      <w:pPr>
        <w:tabs>
          <w:tab w:val="left" w:pos="1080"/>
        </w:tabs>
        <w:ind w:left="1080" w:hanging="360"/>
      </w:pPr>
      <w:rPr>
        <w:rFonts w:hint="default" w:ascii="OpenSymbol" w:hAnsi="OpenSymbol" w:cs="OpenSymbol"/>
      </w:rPr>
    </w:lvl>
    <w:lvl w:ilvl="2" w:tentative="0">
      <w:start w:val="1"/>
      <w:numFmt w:val="bullet"/>
      <w:lvlText w:val="▪"/>
      <w:lvlJc w:val="left"/>
      <w:pPr>
        <w:tabs>
          <w:tab w:val="left" w:pos="1440"/>
        </w:tabs>
        <w:ind w:left="1440" w:hanging="360"/>
      </w:pPr>
      <w:rPr>
        <w:rFonts w:hint="default" w:ascii="OpenSymbol" w:hAnsi="OpenSymbol" w:cs="OpenSymbol"/>
      </w:rPr>
    </w:lvl>
    <w:lvl w:ilvl="3" w:tentative="0">
      <w:start w:val="1"/>
      <w:numFmt w:val="bullet"/>
      <w:lvlText w:val=""/>
      <w:lvlJc w:val="left"/>
      <w:pPr>
        <w:tabs>
          <w:tab w:val="left" w:pos="1800"/>
        </w:tabs>
        <w:ind w:left="1800" w:hanging="360"/>
      </w:pPr>
      <w:rPr>
        <w:rFonts w:hint="default" w:ascii="Symbol" w:hAnsi="Symbol" w:cs="Symbol"/>
      </w:rPr>
    </w:lvl>
    <w:lvl w:ilvl="4" w:tentative="0">
      <w:start w:val="1"/>
      <w:numFmt w:val="bullet"/>
      <w:lvlText w:val="◦"/>
      <w:lvlJc w:val="left"/>
      <w:pPr>
        <w:tabs>
          <w:tab w:val="left" w:pos="2160"/>
        </w:tabs>
        <w:ind w:left="2160" w:hanging="360"/>
      </w:pPr>
      <w:rPr>
        <w:rFonts w:hint="default" w:ascii="OpenSymbol" w:hAnsi="OpenSymbol" w:cs="OpenSymbol"/>
      </w:rPr>
    </w:lvl>
    <w:lvl w:ilvl="5" w:tentative="0">
      <w:start w:val="1"/>
      <w:numFmt w:val="bullet"/>
      <w:lvlText w:val="▪"/>
      <w:lvlJc w:val="left"/>
      <w:pPr>
        <w:tabs>
          <w:tab w:val="left" w:pos="2520"/>
        </w:tabs>
        <w:ind w:left="2520" w:hanging="360"/>
      </w:pPr>
      <w:rPr>
        <w:rFonts w:hint="default" w:ascii="OpenSymbol" w:hAnsi="OpenSymbol" w:cs="OpenSymbol"/>
      </w:rPr>
    </w:lvl>
    <w:lvl w:ilvl="6" w:tentative="0">
      <w:start w:val="1"/>
      <w:numFmt w:val="bullet"/>
      <w:lvlText w:val=""/>
      <w:lvlJc w:val="left"/>
      <w:pPr>
        <w:tabs>
          <w:tab w:val="left" w:pos="2880"/>
        </w:tabs>
        <w:ind w:left="2880" w:hanging="360"/>
      </w:pPr>
      <w:rPr>
        <w:rFonts w:hint="default" w:ascii="Symbol" w:hAnsi="Symbol" w:cs="Symbol"/>
      </w:rPr>
    </w:lvl>
    <w:lvl w:ilvl="7" w:tentative="0">
      <w:start w:val="1"/>
      <w:numFmt w:val="bullet"/>
      <w:lvlText w:val="◦"/>
      <w:lvlJc w:val="left"/>
      <w:pPr>
        <w:tabs>
          <w:tab w:val="left" w:pos="3240"/>
        </w:tabs>
        <w:ind w:left="3240" w:hanging="360"/>
      </w:pPr>
      <w:rPr>
        <w:rFonts w:hint="default" w:ascii="OpenSymbol" w:hAnsi="OpenSymbol" w:cs="OpenSymbol"/>
      </w:rPr>
    </w:lvl>
    <w:lvl w:ilvl="8" w:tentative="0">
      <w:start w:val="1"/>
      <w:numFmt w:val="bullet"/>
      <w:lvlText w:val="▪"/>
      <w:lvlJc w:val="left"/>
      <w:pPr>
        <w:tabs>
          <w:tab w:val="left" w:pos="3600"/>
        </w:tabs>
        <w:ind w:left="3600" w:hanging="360"/>
      </w:pPr>
      <w:rPr>
        <w:rFonts w:hint="default" w:ascii="OpenSymbol" w:hAnsi="OpenSymbol" w:cs="OpenSymbol"/>
      </w:rPr>
    </w:lvl>
  </w:abstractNum>
  <w:abstractNum w:abstractNumId="14">
    <w:nsid w:val="59ADCABA"/>
    <w:multiLevelType w:val="multilevel"/>
    <w:tmpl w:val="59ADCABA"/>
    <w:lvl w:ilvl="0" w:tentative="0">
      <w:start w:val="1"/>
      <w:numFmt w:val="decimal"/>
      <w:pStyle w:val="97"/>
      <w:lvlText w:val="%1."/>
      <w:lvlJc w:val="left"/>
      <w:pPr>
        <w:tabs>
          <w:tab w:val="left" w:pos="0"/>
        </w:tabs>
        <w:ind w:left="360" w:hanging="360"/>
      </w:pPr>
      <w:rPr>
        <w:b/>
        <w:color w:val="auto"/>
      </w:rPr>
    </w:lvl>
    <w:lvl w:ilvl="1" w:tentative="0">
      <w:start w:val="1"/>
      <w:numFmt w:val="decimal"/>
      <w:pStyle w:val="65"/>
      <w:lvlText w:val="%1.%2."/>
      <w:lvlJc w:val="left"/>
      <w:pPr>
        <w:tabs>
          <w:tab w:val="left" w:pos="0"/>
        </w:tabs>
        <w:ind w:left="1283" w:hanging="432"/>
      </w:pPr>
      <w:rPr>
        <w:sz w:val="20"/>
        <w:szCs w:val="20"/>
      </w:rPr>
    </w:lvl>
    <w:lvl w:ilvl="2" w:tentative="0">
      <w:start w:val="1"/>
      <w:numFmt w:val="decimal"/>
      <w:pStyle w:val="71"/>
      <w:lvlText w:val="%1.%2.%3."/>
      <w:lvlJc w:val="left"/>
      <w:pPr>
        <w:tabs>
          <w:tab w:val="left" w:pos="0"/>
        </w:tabs>
        <w:ind w:left="1497" w:hanging="504"/>
      </w:pPr>
    </w:lvl>
    <w:lvl w:ilvl="3" w:tentative="0">
      <w:start w:val="1"/>
      <w:numFmt w:val="decimal"/>
      <w:pStyle w:val="77"/>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5">
    <w:nsid w:val="5A241D34"/>
    <w:multiLevelType w:val="multilevel"/>
    <w:tmpl w:val="5A241D34"/>
    <w:lvl w:ilvl="0" w:tentative="0">
      <w:start w:val="1"/>
      <w:numFmt w:val="bullet"/>
      <w:lvlText w:val=""/>
      <w:lvlJc w:val="left"/>
      <w:pPr>
        <w:tabs>
          <w:tab w:val="left" w:pos="720"/>
        </w:tabs>
        <w:ind w:left="720" w:hanging="360"/>
      </w:pPr>
      <w:rPr>
        <w:rFonts w:hint="default" w:ascii="Symbol" w:hAnsi="Symbol" w:cs="Symbol"/>
      </w:rPr>
    </w:lvl>
    <w:lvl w:ilvl="1" w:tentative="0">
      <w:start w:val="1"/>
      <w:numFmt w:val="bullet"/>
      <w:lvlText w:val="◦"/>
      <w:lvlJc w:val="left"/>
      <w:pPr>
        <w:tabs>
          <w:tab w:val="left" w:pos="1080"/>
        </w:tabs>
        <w:ind w:left="1080" w:hanging="360"/>
      </w:pPr>
      <w:rPr>
        <w:rFonts w:hint="default" w:ascii="OpenSymbol" w:hAnsi="OpenSymbol" w:cs="OpenSymbol"/>
      </w:rPr>
    </w:lvl>
    <w:lvl w:ilvl="2" w:tentative="0">
      <w:start w:val="1"/>
      <w:numFmt w:val="bullet"/>
      <w:lvlText w:val="▪"/>
      <w:lvlJc w:val="left"/>
      <w:pPr>
        <w:tabs>
          <w:tab w:val="left" w:pos="1440"/>
        </w:tabs>
        <w:ind w:left="1440" w:hanging="360"/>
      </w:pPr>
      <w:rPr>
        <w:rFonts w:hint="default" w:ascii="OpenSymbol" w:hAnsi="OpenSymbol" w:cs="OpenSymbol"/>
      </w:rPr>
    </w:lvl>
    <w:lvl w:ilvl="3" w:tentative="0">
      <w:start w:val="1"/>
      <w:numFmt w:val="bullet"/>
      <w:lvlText w:val=""/>
      <w:lvlJc w:val="left"/>
      <w:pPr>
        <w:tabs>
          <w:tab w:val="left" w:pos="1800"/>
        </w:tabs>
        <w:ind w:left="1800" w:hanging="360"/>
      </w:pPr>
      <w:rPr>
        <w:rFonts w:hint="default" w:ascii="Symbol" w:hAnsi="Symbol" w:cs="Symbol"/>
      </w:rPr>
    </w:lvl>
    <w:lvl w:ilvl="4" w:tentative="0">
      <w:start w:val="1"/>
      <w:numFmt w:val="bullet"/>
      <w:lvlText w:val="◦"/>
      <w:lvlJc w:val="left"/>
      <w:pPr>
        <w:tabs>
          <w:tab w:val="left" w:pos="2160"/>
        </w:tabs>
        <w:ind w:left="2160" w:hanging="360"/>
      </w:pPr>
      <w:rPr>
        <w:rFonts w:hint="default" w:ascii="OpenSymbol" w:hAnsi="OpenSymbol" w:cs="OpenSymbol"/>
      </w:rPr>
    </w:lvl>
    <w:lvl w:ilvl="5" w:tentative="0">
      <w:start w:val="1"/>
      <w:numFmt w:val="bullet"/>
      <w:lvlText w:val="▪"/>
      <w:lvlJc w:val="left"/>
      <w:pPr>
        <w:tabs>
          <w:tab w:val="left" w:pos="2520"/>
        </w:tabs>
        <w:ind w:left="2520" w:hanging="360"/>
      </w:pPr>
      <w:rPr>
        <w:rFonts w:hint="default" w:ascii="OpenSymbol" w:hAnsi="OpenSymbol" w:cs="OpenSymbol"/>
      </w:rPr>
    </w:lvl>
    <w:lvl w:ilvl="6" w:tentative="0">
      <w:start w:val="1"/>
      <w:numFmt w:val="bullet"/>
      <w:lvlText w:val=""/>
      <w:lvlJc w:val="left"/>
      <w:pPr>
        <w:tabs>
          <w:tab w:val="left" w:pos="2880"/>
        </w:tabs>
        <w:ind w:left="2880" w:hanging="360"/>
      </w:pPr>
      <w:rPr>
        <w:rFonts w:hint="default" w:ascii="Symbol" w:hAnsi="Symbol" w:cs="Symbol"/>
      </w:rPr>
    </w:lvl>
    <w:lvl w:ilvl="7" w:tentative="0">
      <w:start w:val="1"/>
      <w:numFmt w:val="bullet"/>
      <w:lvlText w:val="◦"/>
      <w:lvlJc w:val="left"/>
      <w:pPr>
        <w:tabs>
          <w:tab w:val="left" w:pos="3240"/>
        </w:tabs>
        <w:ind w:left="3240" w:hanging="360"/>
      </w:pPr>
      <w:rPr>
        <w:rFonts w:hint="default" w:ascii="OpenSymbol" w:hAnsi="OpenSymbol" w:cs="OpenSymbol"/>
      </w:rPr>
    </w:lvl>
    <w:lvl w:ilvl="8" w:tentative="0">
      <w:start w:val="1"/>
      <w:numFmt w:val="bullet"/>
      <w:lvlText w:val="▪"/>
      <w:lvlJc w:val="left"/>
      <w:pPr>
        <w:tabs>
          <w:tab w:val="left" w:pos="3600"/>
        </w:tabs>
        <w:ind w:left="3600" w:hanging="360"/>
      </w:pPr>
      <w:rPr>
        <w:rFonts w:hint="default" w:ascii="OpenSymbol" w:hAnsi="OpenSymbol" w:cs="OpenSymbol"/>
      </w:rPr>
    </w:lvl>
  </w:abstractNum>
  <w:abstractNum w:abstractNumId="16">
    <w:nsid w:val="60382F6E"/>
    <w:multiLevelType w:val="multilevel"/>
    <w:tmpl w:val="60382F6E"/>
    <w:lvl w:ilvl="0" w:tentative="0">
      <w:start w:val="1"/>
      <w:numFmt w:val="decimal"/>
      <w:lvlText w:val="%1."/>
      <w:lvlJc w:val="left"/>
      <w:pPr>
        <w:tabs>
          <w:tab w:val="left" w:pos="0"/>
        </w:tabs>
        <w:ind w:left="360" w:hanging="360"/>
      </w:pPr>
      <w:rPr>
        <w:b/>
        <w:bCs/>
        <w:color w:val="auto"/>
      </w:rPr>
    </w:lvl>
    <w:lvl w:ilvl="1" w:tentative="0">
      <w:start w:val="1"/>
      <w:numFmt w:val="decimal"/>
      <w:lvlText w:val="%1.%2."/>
      <w:lvlJc w:val="left"/>
      <w:pPr>
        <w:tabs>
          <w:tab w:val="left" w:pos="0"/>
        </w:tabs>
        <w:ind w:left="792" w:hanging="432"/>
      </w:pPr>
      <w:rPr>
        <w:i w:val="0"/>
        <w:iCs w:val="0"/>
        <w:sz w:val="22"/>
        <w:szCs w:val="22"/>
      </w:rPr>
    </w:lvl>
    <w:lvl w:ilvl="2" w:tentative="0">
      <w:start w:val="1"/>
      <w:numFmt w:val="lowerLetter"/>
      <w:lvlText w:val="%3)"/>
      <w:lvlJc w:val="left"/>
      <w:pPr>
        <w:tabs>
          <w:tab w:val="left" w:pos="0"/>
        </w:tabs>
        <w:ind w:left="1080" w:hanging="360"/>
      </w:pPr>
    </w:lvl>
    <w:lvl w:ilvl="3" w:tentative="0">
      <w:start w:val="1"/>
      <w:numFmt w:val="decimal"/>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7">
    <w:nsid w:val="72183CF9"/>
    <w:multiLevelType w:val="multilevel"/>
    <w:tmpl w:val="72183CF9"/>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num w:numId="1">
    <w:abstractNumId w:val="6"/>
  </w:num>
  <w:num w:numId="2">
    <w:abstractNumId w:val="4"/>
  </w:num>
  <w:num w:numId="3">
    <w:abstractNumId w:val="14"/>
  </w:num>
  <w:num w:numId="4">
    <w:abstractNumId w:val="2"/>
  </w:num>
  <w:num w:numId="5">
    <w:abstractNumId w:val="1"/>
  </w:num>
  <w:num w:numId="6">
    <w:abstractNumId w:val="8"/>
  </w:num>
  <w:num w:numId="7">
    <w:abstractNumId w:val="11"/>
  </w:num>
  <w:num w:numId="8">
    <w:abstractNumId w:val="17"/>
  </w:num>
  <w:num w:numId="9">
    <w:abstractNumId w:val="7"/>
  </w:num>
  <w:num w:numId="10">
    <w:abstractNumId w:val="0"/>
  </w:num>
  <w:num w:numId="11">
    <w:abstractNumId w:val="12"/>
  </w:num>
  <w:num w:numId="12">
    <w:abstractNumId w:val="15"/>
  </w:num>
  <w:num w:numId="13">
    <w:abstractNumId w:val="3"/>
  </w:num>
  <w:num w:numId="14">
    <w:abstractNumId w:val="13"/>
  </w:num>
  <w:num w:numId="15">
    <w:abstractNumId w:val="5"/>
  </w:num>
  <w:num w:numId="16">
    <w:abstractNumId w:val="10"/>
  </w:num>
  <w:num w:numId="17">
    <w:abstractNumId w:val="16"/>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6"/>
    <w:lvlOverride w:ilvl="0">
      <w:startOverride w:val="1"/>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autoHyphenation/>
  <w:footnotePr>
    <w:footnote w:id="2"/>
    <w:footnote w:id="3"/>
  </w:footnotePr>
  <w:endnotePr>
    <w:endnote w:id="0"/>
    <w:endnote w:id="1"/>
  </w:endnotePr>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8E55EE4"/>
    <w:rsid w:val="0D637F0D"/>
    <w:rsid w:val="124142B7"/>
    <w:rsid w:val="13493EDA"/>
    <w:rsid w:val="14457D92"/>
    <w:rsid w:val="1A7924D5"/>
    <w:rsid w:val="1CC470F5"/>
    <w:rsid w:val="2BAB6E51"/>
    <w:rsid w:val="327E09A5"/>
    <w:rsid w:val="3E130E71"/>
    <w:rsid w:val="3F2B77CD"/>
    <w:rsid w:val="41065AB2"/>
    <w:rsid w:val="45D1212D"/>
    <w:rsid w:val="4F8A39FB"/>
    <w:rsid w:val="5C1D00AB"/>
    <w:rsid w:val="60213728"/>
    <w:rsid w:val="6F042D4F"/>
    <w:rsid w:val="72E60FA3"/>
  </w:rsids>
  <m:mathPr>
    <m:brkBin m:val="before"/>
    <m:brkBinSub m:val="--"/>
    <m:smallFrac m:val="0"/>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0" w:semiHidden="0" w:name="toc 2"/>
    <w:lsdException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uiPriority="99" w:name="page number"/>
    <w:lsdException w:qFormat="1" w:unhideWhenUsed="0" w:uiPriority="0" w:semiHidden="0"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semiHidden="0" w:name="Table Grid"/>
    <w:lsdException w:uiPriority="99" w:name="Table Theme"/>
    <w:lsdException w:qFormat="1" w:unhideWhenUsed="0" w:uiPriority="67" w:name="Placeholder Text"/>
    <w:lsdException w:qFormat="1" w:unhideWhenUsed="0" w:uiPriority="0" w:semiHidden="0" w:name="No Spacing"/>
    <w:lsdException w:qFormat="1" w:unhideWhenUsed="0" w:uiPriority="34" w:semiHidden="0" w:name="List Paragraph"/>
    <w:lsdException w:qFormat="1" w:unhideWhenUsed="0" w:uiPriority="0" w:semiHidden="0" w:name="Quote"/>
  </w:latentStyles>
  <w:style w:type="paragraph" w:default="1" w:styleId="1">
    <w:name w:val="Normal"/>
    <w:qFormat/>
    <w:uiPriority w:val="0"/>
    <w:pPr>
      <w:widowControl/>
      <w:suppressAutoHyphens/>
      <w:bidi w:val="0"/>
      <w:spacing w:before="0" w:after="200" w:line="276" w:lineRule="auto"/>
      <w:jc w:val="left"/>
    </w:pPr>
    <w:rPr>
      <w:rFonts w:asciiTheme="minorHAnsi" w:hAnsiTheme="minorHAnsi" w:eastAsiaTheme="minorHAnsi" w:cstheme="minorBidi"/>
      <w:color w:val="auto"/>
      <w:kern w:val="0"/>
      <w:sz w:val="22"/>
      <w:szCs w:val="22"/>
      <w:lang w:val="pt-BR" w:eastAsia="en-US" w:bidi="ar-SA"/>
    </w:rPr>
  </w:style>
  <w:style w:type="paragraph" w:styleId="2">
    <w:name w:val="heading 1"/>
    <w:basedOn w:val="3"/>
    <w:next w:val="1"/>
    <w:qFormat/>
    <w:uiPriority w:val="9"/>
    <w:pPr>
      <w:numPr>
        <w:ilvl w:val="0"/>
        <w:numId w:val="1"/>
      </w:numPr>
      <w:pBdr>
        <w:bottom w:val="single" w:color="000000" w:sz="8" w:space="1"/>
      </w:pBdr>
      <w:shd w:val="clear" w:color="auto" w:fill="BEBEBE" w:themeFill="background1" w:themeFillShade="BF"/>
      <w:spacing w:before="360" w:beforeAutospacing="0" w:after="120" w:afterAutospacing="0"/>
      <w:jc w:val="both"/>
      <w:textAlignment w:val="baseline"/>
      <w:outlineLvl w:val="0"/>
    </w:pPr>
    <w:rPr>
      <w:b/>
      <w:bCs/>
    </w:rPr>
  </w:style>
  <w:style w:type="paragraph" w:styleId="4">
    <w:name w:val="heading 2"/>
    <w:basedOn w:val="1"/>
    <w:qFormat/>
    <w:uiPriority w:val="0"/>
    <w:pPr>
      <w:spacing w:beforeAutospacing="1" w:afterAutospacing="1" w:line="240" w:lineRule="auto"/>
      <w:outlineLvl w:val="1"/>
    </w:pPr>
    <w:rPr>
      <w:rFonts w:ascii="Times New Roman" w:hAnsi="Times New Roman" w:eastAsia="Times New Roman" w:cs="Times New Roman"/>
      <w:b/>
      <w:bCs/>
      <w:sz w:val="36"/>
      <w:szCs w:val="36"/>
      <w:lang w:eastAsia="pt-BR"/>
    </w:rPr>
  </w:style>
  <w:style w:type="paragraph" w:styleId="5">
    <w:name w:val="heading 3"/>
    <w:basedOn w:val="1"/>
    <w:next w:val="1"/>
    <w:semiHidden/>
    <w:unhideWhenUsed/>
    <w:qFormat/>
    <w:uiPriority w:val="9"/>
    <w:pPr>
      <w:keepNext/>
      <w:keepLines/>
      <w:spacing w:before="40" w:after="0"/>
      <w:outlineLvl w:val="2"/>
    </w:pPr>
    <w:rPr>
      <w:rFonts w:asciiTheme="majorHAnsi" w:hAnsiTheme="majorHAnsi" w:eastAsiaTheme="majorEastAsia" w:cstheme="majorBidi"/>
      <w:color w:val="243F61" w:themeColor="accent1" w:themeShade="7F"/>
      <w:sz w:val="24"/>
      <w:szCs w:val="24"/>
    </w:rPr>
  </w:style>
  <w:style w:type="paragraph" w:styleId="6">
    <w:name w:val="heading 4"/>
    <w:basedOn w:val="1"/>
    <w:next w:val="1"/>
    <w:semiHidden/>
    <w:unhideWhenUsed/>
    <w:qFormat/>
    <w:uiPriority w:val="0"/>
    <w:pPr>
      <w:keepNext/>
      <w:keepLines/>
      <w:spacing w:before="40" w:after="0" w:line="240" w:lineRule="auto"/>
      <w:outlineLvl w:val="3"/>
    </w:pPr>
    <w:rPr>
      <w:rFonts w:asciiTheme="majorHAnsi" w:hAnsiTheme="majorHAnsi" w:eastAsiaTheme="majorEastAsia" w:cstheme="majorBidi"/>
      <w:i/>
      <w:iCs/>
      <w:color w:val="366091" w:themeColor="accent1" w:themeShade="BF"/>
      <w:sz w:val="24"/>
      <w:szCs w:val="24"/>
      <w:lang w:eastAsia="pt-BR"/>
    </w:rPr>
  </w:style>
  <w:style w:type="paragraph" w:styleId="7">
    <w:name w:val="heading 6"/>
    <w:basedOn w:val="1"/>
    <w:next w:val="1"/>
    <w:semiHidden/>
    <w:unhideWhenUsed/>
    <w:qFormat/>
    <w:uiPriority w:val="9"/>
    <w:pPr>
      <w:keepNext/>
      <w:keepLines/>
      <w:spacing w:before="40" w:after="0" w:line="259" w:lineRule="auto"/>
      <w:outlineLvl w:val="5"/>
    </w:pPr>
    <w:rPr>
      <w:rFonts w:asciiTheme="majorHAnsi" w:hAnsiTheme="majorHAnsi" w:eastAsiaTheme="majorEastAsia" w:cstheme="majorBidi"/>
      <w:color w:val="243F61" w:themeColor="accent1" w:themeShade="7F"/>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3">
    <w:name w:val="paragraph"/>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character" w:styleId="10">
    <w:name w:val="endnote reference"/>
    <w:qFormat/>
    <w:uiPriority w:val="0"/>
    <w:rPr>
      <w:vertAlign w:val="superscript"/>
    </w:rPr>
  </w:style>
  <w:style w:type="character" w:styleId="11">
    <w:name w:val="Strong"/>
    <w:basedOn w:val="8"/>
    <w:qFormat/>
    <w:uiPriority w:val="22"/>
    <w:rPr>
      <w:b/>
      <w:bCs/>
    </w:rPr>
  </w:style>
  <w:style w:type="character" w:styleId="12">
    <w:name w:val="annotation reference"/>
    <w:basedOn w:val="8"/>
    <w:unhideWhenUsed/>
    <w:qFormat/>
    <w:uiPriority w:val="0"/>
    <w:rPr>
      <w:sz w:val="16"/>
      <w:szCs w:val="16"/>
    </w:rPr>
  </w:style>
  <w:style w:type="character" w:styleId="13">
    <w:name w:val="FollowedHyperlink"/>
    <w:basedOn w:val="8"/>
    <w:semiHidden/>
    <w:unhideWhenUsed/>
    <w:qFormat/>
    <w:uiPriority w:val="99"/>
    <w:rPr>
      <w:color w:val="800080" w:themeColor="followedHyperlink"/>
      <w:u w:val="single"/>
    </w:rPr>
  </w:style>
  <w:style w:type="character" w:styleId="14">
    <w:name w:val="Emphasis"/>
    <w:qFormat/>
    <w:uiPriority w:val="20"/>
    <w:rPr>
      <w:rFonts w:cs="Times New Roman"/>
      <w:i/>
      <w:iCs/>
    </w:rPr>
  </w:style>
  <w:style w:type="character" w:styleId="15">
    <w:name w:val="footnote reference"/>
    <w:qFormat/>
    <w:uiPriority w:val="0"/>
    <w:rPr>
      <w:vertAlign w:val="superscript"/>
    </w:rPr>
  </w:style>
  <w:style w:type="character" w:styleId="16">
    <w:name w:val="Hyperlink"/>
    <w:qFormat/>
    <w:uiPriority w:val="0"/>
    <w:rPr>
      <w:color w:val="000080"/>
      <w:u w:val="single"/>
    </w:rPr>
  </w:style>
  <w:style w:type="paragraph" w:styleId="17">
    <w:name w:val="toc 2"/>
    <w:basedOn w:val="18"/>
    <w:qFormat/>
    <w:uiPriority w:val="0"/>
  </w:style>
  <w:style w:type="paragraph" w:customStyle="1" w:styleId="18">
    <w:name w:val="Índice"/>
    <w:basedOn w:val="1"/>
    <w:qFormat/>
    <w:uiPriority w:val="0"/>
    <w:pPr>
      <w:suppressLineNumbers/>
    </w:pPr>
    <w:rPr>
      <w:rFonts w:cs="Arial"/>
    </w:rPr>
  </w:style>
  <w:style w:type="paragraph" w:styleId="19">
    <w:name w:val="List"/>
    <w:basedOn w:val="20"/>
    <w:uiPriority w:val="0"/>
    <w:rPr>
      <w:rFonts w:cs="Arial"/>
    </w:rPr>
  </w:style>
  <w:style w:type="paragraph" w:styleId="20">
    <w:name w:val="Body Text"/>
    <w:basedOn w:val="1"/>
    <w:link w:val="81"/>
    <w:unhideWhenUsed/>
    <w:qFormat/>
    <w:uiPriority w:val="99"/>
    <w:pPr>
      <w:spacing w:before="0" w:after="120"/>
    </w:pPr>
  </w:style>
  <w:style w:type="paragraph" w:styleId="21">
    <w:name w:val="toc 9"/>
    <w:basedOn w:val="18"/>
    <w:qFormat/>
    <w:uiPriority w:val="0"/>
  </w:style>
  <w:style w:type="paragraph" w:styleId="22">
    <w:name w:val="toc 6"/>
    <w:basedOn w:val="18"/>
    <w:qFormat/>
    <w:uiPriority w:val="0"/>
  </w:style>
  <w:style w:type="paragraph" w:styleId="23">
    <w:name w:val="annotation text"/>
    <w:basedOn w:val="1"/>
    <w:link w:val="49"/>
    <w:unhideWhenUsed/>
    <w:qFormat/>
    <w:uiPriority w:val="99"/>
    <w:pPr>
      <w:spacing w:line="240" w:lineRule="auto"/>
    </w:pPr>
    <w:rPr>
      <w:sz w:val="20"/>
      <w:szCs w:val="20"/>
    </w:rPr>
  </w:style>
  <w:style w:type="paragraph" w:styleId="24">
    <w:name w:val="toc 5"/>
    <w:basedOn w:val="18"/>
    <w:qFormat/>
    <w:uiPriority w:val="0"/>
  </w:style>
  <w:style w:type="paragraph" w:styleId="25">
    <w:name w:val="Body Text Indent 2"/>
    <w:basedOn w:val="1"/>
    <w:link w:val="80"/>
    <w:qFormat/>
    <w:uiPriority w:val="0"/>
    <w:pPr>
      <w:spacing w:before="0" w:after="0" w:line="240" w:lineRule="auto"/>
      <w:ind w:firstLine="708"/>
      <w:jc w:val="both"/>
    </w:pPr>
    <w:rPr>
      <w:rFonts w:ascii="Arial Narrow" w:hAnsi="Arial Narrow" w:eastAsia="Times New Roman" w:cs="Times New Roman"/>
      <w:sz w:val="24"/>
      <w:szCs w:val="20"/>
      <w:lang w:eastAsia="pt-BR"/>
    </w:rPr>
  </w:style>
  <w:style w:type="paragraph" w:styleId="26">
    <w:name w:val="Title"/>
    <w:basedOn w:val="1"/>
    <w:next w:val="1"/>
    <w:link w:val="95"/>
    <w:qFormat/>
    <w:uiPriority w:val="0"/>
    <w:pPr>
      <w:pBdr>
        <w:bottom w:val="single" w:color="4F81BD" w:themeColor="accent1" w:sz="8" w:space="4"/>
      </w:pBdr>
      <w:spacing w:before="0" w:after="300" w:line="240" w:lineRule="auto"/>
      <w:contextualSpacing/>
    </w:pPr>
    <w:rPr>
      <w:rFonts w:asciiTheme="majorHAnsi" w:hAnsiTheme="majorHAnsi" w:eastAsiaTheme="majorEastAsia" w:cstheme="majorBidi"/>
      <w:color w:val="17365D" w:themeColor="text2" w:themeShade="BF"/>
      <w:spacing w:val="5"/>
      <w:kern w:val="2"/>
      <w:sz w:val="52"/>
      <w:szCs w:val="52"/>
      <w:lang w:eastAsia="pt-BR"/>
    </w:rPr>
  </w:style>
  <w:style w:type="paragraph" w:styleId="27">
    <w:name w:val="List Bullet 5"/>
    <w:basedOn w:val="1"/>
    <w:qFormat/>
    <w:uiPriority w:val="0"/>
    <w:pPr>
      <w:numPr>
        <w:ilvl w:val="0"/>
        <w:numId w:val="2"/>
      </w:numPr>
      <w:spacing w:before="0" w:after="0" w:line="240" w:lineRule="auto"/>
      <w:contextualSpacing/>
    </w:pPr>
    <w:rPr>
      <w:rFonts w:ascii="Ecofont_Spranq_eco_Sans" w:hAnsi="Ecofont_Spranq_eco_Sans" w:cs="Tahoma" w:eastAsiaTheme="minorEastAsia"/>
      <w:sz w:val="24"/>
      <w:szCs w:val="24"/>
      <w:lang w:eastAsia="pt-BR"/>
    </w:rPr>
  </w:style>
  <w:style w:type="paragraph" w:styleId="28">
    <w:name w:val="Normal (Web)"/>
    <w:basedOn w:val="1"/>
    <w:unhideWhenUsed/>
    <w:qFormat/>
    <w:uiPriority w:val="99"/>
    <w:pPr>
      <w:spacing w:beforeAutospacing="1" w:afterAutospacing="1" w:line="240" w:lineRule="auto"/>
    </w:pPr>
    <w:rPr>
      <w:rFonts w:ascii="Times New Roman" w:hAnsi="Times New Roman" w:eastAsia="Times New Roman" w:cs="Times New Roman"/>
      <w:sz w:val="24"/>
      <w:szCs w:val="24"/>
      <w:lang w:eastAsia="pt-BR"/>
    </w:rPr>
  </w:style>
  <w:style w:type="paragraph" w:styleId="29">
    <w:name w:val="toc 4"/>
    <w:basedOn w:val="18"/>
    <w:qFormat/>
    <w:uiPriority w:val="0"/>
  </w:style>
  <w:style w:type="paragraph" w:styleId="30">
    <w:name w:val="toc 8"/>
    <w:basedOn w:val="18"/>
    <w:qFormat/>
    <w:uiPriority w:val="0"/>
  </w:style>
  <w:style w:type="paragraph" w:styleId="31">
    <w:name w:val="index heading"/>
    <w:basedOn w:val="32"/>
    <w:qFormat/>
    <w:uiPriority w:val="0"/>
  </w:style>
  <w:style w:type="paragraph" w:customStyle="1" w:styleId="32">
    <w:name w:val="Título12"/>
    <w:basedOn w:val="1"/>
    <w:next w:val="20"/>
    <w:qFormat/>
    <w:uiPriority w:val="0"/>
    <w:pPr>
      <w:keepNext/>
      <w:spacing w:before="240" w:after="120"/>
    </w:pPr>
    <w:rPr>
      <w:rFonts w:ascii="Liberation Sans" w:hAnsi="Liberation Sans" w:eastAsia="Microsoft YaHei" w:cs="Arial"/>
      <w:sz w:val="28"/>
      <w:szCs w:val="28"/>
    </w:rPr>
  </w:style>
  <w:style w:type="paragraph" w:styleId="33">
    <w:name w:val="header"/>
    <w:basedOn w:val="1"/>
    <w:link w:val="52"/>
    <w:unhideWhenUsed/>
    <w:qFormat/>
    <w:uiPriority w:val="99"/>
    <w:pPr>
      <w:tabs>
        <w:tab w:val="center" w:pos="4252"/>
        <w:tab w:val="right" w:pos="8504"/>
      </w:tabs>
      <w:spacing w:before="0" w:after="0" w:line="240" w:lineRule="auto"/>
    </w:pPr>
  </w:style>
  <w:style w:type="paragraph" w:styleId="34">
    <w:name w:val="annotation subject"/>
    <w:basedOn w:val="23"/>
    <w:next w:val="23"/>
    <w:link w:val="50"/>
    <w:semiHidden/>
    <w:unhideWhenUsed/>
    <w:qFormat/>
    <w:uiPriority w:val="99"/>
    <w:rPr>
      <w:b/>
      <w:bCs/>
    </w:rPr>
  </w:style>
  <w:style w:type="paragraph" w:styleId="35">
    <w:name w:val="footer"/>
    <w:basedOn w:val="1"/>
    <w:link w:val="53"/>
    <w:unhideWhenUsed/>
    <w:qFormat/>
    <w:uiPriority w:val="99"/>
    <w:pPr>
      <w:tabs>
        <w:tab w:val="center" w:pos="4252"/>
        <w:tab w:val="right" w:pos="8504"/>
      </w:tabs>
      <w:spacing w:before="0" w:after="0" w:line="240" w:lineRule="auto"/>
    </w:pPr>
  </w:style>
  <w:style w:type="paragraph" w:styleId="36">
    <w:name w:val="caption"/>
    <w:basedOn w:val="1"/>
    <w:qFormat/>
    <w:uiPriority w:val="0"/>
    <w:pPr>
      <w:suppressLineNumbers/>
      <w:spacing w:before="120" w:after="120"/>
    </w:pPr>
    <w:rPr>
      <w:rFonts w:cs="Arial"/>
      <w:i/>
      <w:iCs/>
      <w:sz w:val="24"/>
      <w:szCs w:val="24"/>
    </w:rPr>
  </w:style>
  <w:style w:type="paragraph" w:styleId="37">
    <w:name w:val="toc 7"/>
    <w:basedOn w:val="18"/>
    <w:qFormat/>
    <w:uiPriority w:val="0"/>
  </w:style>
  <w:style w:type="paragraph" w:styleId="38">
    <w:name w:val="toc 3"/>
    <w:basedOn w:val="18"/>
    <w:uiPriority w:val="0"/>
  </w:style>
  <w:style w:type="paragraph" w:styleId="39">
    <w:name w:val="Balloon Text"/>
    <w:basedOn w:val="1"/>
    <w:link w:val="51"/>
    <w:unhideWhenUsed/>
    <w:qFormat/>
    <w:uiPriority w:val="99"/>
    <w:pPr>
      <w:spacing w:before="0" w:after="0" w:line="240" w:lineRule="auto"/>
    </w:pPr>
    <w:rPr>
      <w:rFonts w:ascii="Tahoma" w:hAnsi="Tahoma" w:cs="Tahoma"/>
      <w:sz w:val="16"/>
      <w:szCs w:val="16"/>
    </w:rPr>
  </w:style>
  <w:style w:type="paragraph" w:styleId="40">
    <w:name w:val="footnote text"/>
    <w:basedOn w:val="1"/>
    <w:link w:val="56"/>
    <w:semiHidden/>
    <w:unhideWhenUsed/>
    <w:qFormat/>
    <w:uiPriority w:val="99"/>
    <w:pPr>
      <w:spacing w:before="0" w:after="0" w:line="240" w:lineRule="auto"/>
    </w:pPr>
    <w:rPr>
      <w:sz w:val="20"/>
      <w:szCs w:val="20"/>
    </w:rPr>
  </w:style>
  <w:style w:type="paragraph" w:styleId="41">
    <w:name w:val="toc 1"/>
    <w:basedOn w:val="1"/>
    <w:next w:val="1"/>
    <w:unhideWhenUsed/>
    <w:qFormat/>
    <w:uiPriority w:val="39"/>
    <w:pPr>
      <w:spacing w:before="0" w:after="100"/>
    </w:pPr>
  </w:style>
  <w:style w:type="table" w:styleId="42">
    <w:name w:val="Table Grid"/>
    <w:basedOn w:val="9"/>
    <w:unhideWhenUsed/>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
    <w:name w:val="Caracteres de nota de fim"/>
    <w:qFormat/>
    <w:uiPriority w:val="0"/>
    <w:rPr>
      <w:vertAlign w:val="superscript"/>
    </w:rPr>
  </w:style>
  <w:style w:type="character" w:customStyle="1" w:styleId="44">
    <w:name w:val="Caracteres de nota de rodapé"/>
    <w:semiHidden/>
    <w:unhideWhenUsed/>
    <w:qFormat/>
    <w:uiPriority w:val="99"/>
    <w:rPr>
      <w:vertAlign w:val="superscript"/>
    </w:rPr>
  </w:style>
  <w:style w:type="character" w:customStyle="1" w:styleId="45">
    <w:name w:val="normaltextrun"/>
    <w:basedOn w:val="8"/>
    <w:qFormat/>
    <w:uiPriority w:val="0"/>
  </w:style>
  <w:style w:type="character" w:customStyle="1" w:styleId="46">
    <w:name w:val="scxw155697705"/>
    <w:basedOn w:val="8"/>
    <w:qFormat/>
    <w:uiPriority w:val="0"/>
  </w:style>
  <w:style w:type="character" w:customStyle="1" w:styleId="47">
    <w:name w:val="eop"/>
    <w:basedOn w:val="8"/>
    <w:qFormat/>
    <w:uiPriority w:val="0"/>
  </w:style>
  <w:style w:type="character" w:customStyle="1" w:styleId="48">
    <w:name w:val="tabchar"/>
    <w:basedOn w:val="8"/>
    <w:qFormat/>
    <w:uiPriority w:val="0"/>
  </w:style>
  <w:style w:type="character" w:customStyle="1" w:styleId="49">
    <w:name w:val="Texto de comentário Char"/>
    <w:basedOn w:val="8"/>
    <w:link w:val="23"/>
    <w:qFormat/>
    <w:uiPriority w:val="99"/>
    <w:rPr>
      <w:sz w:val="20"/>
      <w:szCs w:val="20"/>
    </w:rPr>
  </w:style>
  <w:style w:type="character" w:customStyle="1" w:styleId="50">
    <w:name w:val="Assunto do comentário Char"/>
    <w:basedOn w:val="49"/>
    <w:link w:val="34"/>
    <w:semiHidden/>
    <w:qFormat/>
    <w:uiPriority w:val="99"/>
    <w:rPr>
      <w:b/>
      <w:bCs/>
      <w:sz w:val="20"/>
      <w:szCs w:val="20"/>
    </w:rPr>
  </w:style>
  <w:style w:type="character" w:customStyle="1" w:styleId="51">
    <w:name w:val="Texto de balão Char"/>
    <w:basedOn w:val="8"/>
    <w:link w:val="39"/>
    <w:qFormat/>
    <w:uiPriority w:val="99"/>
    <w:rPr>
      <w:rFonts w:ascii="Tahoma" w:hAnsi="Tahoma" w:cs="Tahoma"/>
      <w:sz w:val="16"/>
      <w:szCs w:val="16"/>
    </w:rPr>
  </w:style>
  <w:style w:type="character" w:customStyle="1" w:styleId="52">
    <w:name w:val="Cabeçalho Char"/>
    <w:basedOn w:val="8"/>
    <w:link w:val="33"/>
    <w:qFormat/>
    <w:uiPriority w:val="99"/>
  </w:style>
  <w:style w:type="character" w:customStyle="1" w:styleId="53">
    <w:name w:val="Rodapé Char"/>
    <w:basedOn w:val="8"/>
    <w:link w:val="35"/>
    <w:qFormat/>
    <w:uiPriority w:val="99"/>
  </w:style>
  <w:style w:type="character" w:customStyle="1" w:styleId="54">
    <w:name w:val="Hyperlink1"/>
    <w:basedOn w:val="8"/>
    <w:unhideWhenUsed/>
    <w:qFormat/>
    <w:uiPriority w:val="99"/>
    <w:rPr>
      <w:color w:val="0000FF" w:themeColor="hyperlink"/>
      <w:u w:val="single"/>
    </w:rPr>
  </w:style>
  <w:style w:type="character" w:customStyle="1" w:styleId="55">
    <w:name w:val="Unresolved Mention"/>
    <w:basedOn w:val="8"/>
    <w:semiHidden/>
    <w:unhideWhenUsed/>
    <w:qFormat/>
    <w:uiPriority w:val="99"/>
    <w:rPr>
      <w:color w:val="605E5C"/>
      <w:shd w:val="clear" w:fill="E1DFDD"/>
    </w:rPr>
  </w:style>
  <w:style w:type="character" w:customStyle="1" w:styleId="56">
    <w:name w:val="Texto de nota de rodapé Char"/>
    <w:basedOn w:val="8"/>
    <w:link w:val="40"/>
    <w:semiHidden/>
    <w:qFormat/>
    <w:uiPriority w:val="99"/>
    <w:rPr>
      <w:sz w:val="20"/>
      <w:szCs w:val="20"/>
    </w:rPr>
  </w:style>
  <w:style w:type="character" w:customStyle="1" w:styleId="57">
    <w:name w:val="Título 2 Char"/>
    <w:basedOn w:val="8"/>
    <w:qFormat/>
    <w:uiPriority w:val="0"/>
    <w:rPr>
      <w:rFonts w:ascii="Times New Roman" w:hAnsi="Times New Roman" w:eastAsia="Times New Roman" w:cs="Times New Roman"/>
      <w:b/>
      <w:bCs/>
      <w:sz w:val="36"/>
      <w:szCs w:val="36"/>
      <w:lang w:eastAsia="pt-BR"/>
    </w:rPr>
  </w:style>
  <w:style w:type="character" w:customStyle="1" w:styleId="58">
    <w:name w:val="producttitle"/>
    <w:basedOn w:val="8"/>
    <w:qFormat/>
    <w:uiPriority w:val="0"/>
  </w:style>
  <w:style w:type="character" w:customStyle="1" w:styleId="59">
    <w:name w:val="Parágrafo da Lista Char"/>
    <w:link w:val="60"/>
    <w:qFormat/>
    <w:locked/>
    <w:uiPriority w:val="34"/>
  </w:style>
  <w:style w:type="paragraph" w:styleId="60">
    <w:name w:val="List Paragraph"/>
    <w:basedOn w:val="1"/>
    <w:link w:val="59"/>
    <w:qFormat/>
    <w:uiPriority w:val="34"/>
    <w:pPr>
      <w:spacing w:before="0" w:after="200"/>
      <w:ind w:left="720"/>
      <w:contextualSpacing/>
    </w:pPr>
  </w:style>
  <w:style w:type="character" w:customStyle="1" w:styleId="61">
    <w:name w:val="Título 3 Char"/>
    <w:basedOn w:val="8"/>
    <w:qFormat/>
    <w:uiPriority w:val="9"/>
    <w:rPr>
      <w:rFonts w:asciiTheme="majorHAnsi" w:hAnsiTheme="majorHAnsi" w:eastAsiaTheme="majorEastAsia" w:cstheme="majorBidi"/>
      <w:color w:val="243F61" w:themeColor="accent1" w:themeShade="7F"/>
      <w:sz w:val="24"/>
      <w:szCs w:val="24"/>
    </w:rPr>
  </w:style>
  <w:style w:type="character" w:customStyle="1" w:styleId="62">
    <w:name w:val="Título 1 Char"/>
    <w:basedOn w:val="8"/>
    <w:qFormat/>
    <w:uiPriority w:val="9"/>
    <w:rPr>
      <w:rFonts w:ascii="Times New Roman" w:hAnsi="Times New Roman" w:eastAsia="Times New Roman" w:cs="Times New Roman"/>
      <w:b/>
      <w:bCs/>
      <w:sz w:val="24"/>
      <w:szCs w:val="24"/>
      <w:shd w:val="clear" w:fill="BFBFBF"/>
      <w:lang w:eastAsia="pt-BR"/>
    </w:rPr>
  </w:style>
  <w:style w:type="character" w:customStyle="1" w:styleId="63">
    <w:name w:val="apple-converted-space"/>
    <w:qFormat/>
    <w:uiPriority w:val="0"/>
  </w:style>
  <w:style w:type="character" w:customStyle="1" w:styleId="64">
    <w:name w:val="Nivel 2 Char"/>
    <w:basedOn w:val="8"/>
    <w:link w:val="65"/>
    <w:qFormat/>
    <w:locked/>
    <w:uiPriority w:val="0"/>
    <w:rPr>
      <w:rFonts w:ascii="Arial" w:hAnsi="Arial" w:eastAsia="Times New Roman" w:cs="Arial"/>
      <w:sz w:val="20"/>
      <w:szCs w:val="20"/>
      <w:lang w:eastAsia="pt-BR"/>
    </w:rPr>
  </w:style>
  <w:style w:type="paragraph" w:customStyle="1" w:styleId="65">
    <w:name w:val="Nivel 2"/>
    <w:basedOn w:val="1"/>
    <w:link w:val="64"/>
    <w:qFormat/>
    <w:uiPriority w:val="0"/>
    <w:pPr>
      <w:numPr>
        <w:ilvl w:val="1"/>
        <w:numId w:val="3"/>
      </w:numPr>
      <w:spacing w:before="120" w:after="120"/>
      <w:jc w:val="both"/>
    </w:pPr>
    <w:rPr>
      <w:rFonts w:ascii="Arial" w:hAnsi="Arial" w:eastAsia="Times New Roman" w:cs="Arial"/>
      <w:sz w:val="20"/>
      <w:szCs w:val="20"/>
      <w:lang w:eastAsia="pt-BR"/>
    </w:rPr>
  </w:style>
  <w:style w:type="character" w:customStyle="1" w:styleId="66">
    <w:name w:val="Nível 2 -Red Char"/>
    <w:basedOn w:val="64"/>
    <w:link w:val="67"/>
    <w:qFormat/>
    <w:uiPriority w:val="0"/>
    <w:rPr>
      <w:rFonts w:ascii="Arial" w:hAnsi="Arial" w:eastAsia="Times New Roman" w:cs="Arial"/>
      <w:i/>
      <w:iCs/>
      <w:color w:val="FF0000"/>
      <w:sz w:val="20"/>
      <w:szCs w:val="20"/>
      <w:lang w:eastAsia="pt-BR"/>
    </w:rPr>
  </w:style>
  <w:style w:type="paragraph" w:customStyle="1" w:styleId="67">
    <w:name w:val="Nível 2 -Red"/>
    <w:basedOn w:val="65"/>
    <w:link w:val="66"/>
    <w:qFormat/>
    <w:uiPriority w:val="0"/>
    <w:pPr>
      <w:numPr>
        <w:ilvl w:val="1"/>
        <w:numId w:val="4"/>
      </w:numPr>
      <w:ind w:left="0" w:firstLine="0"/>
    </w:pPr>
    <w:rPr>
      <w:i/>
      <w:iCs/>
      <w:color w:val="FF0000"/>
    </w:rPr>
  </w:style>
  <w:style w:type="character" w:customStyle="1" w:styleId="68">
    <w:name w:val="ou Char"/>
    <w:basedOn w:val="8"/>
    <w:link w:val="69"/>
    <w:qFormat/>
    <w:uiPriority w:val="0"/>
    <w:rPr>
      <w:rFonts w:ascii="Arial" w:hAnsi="Arial" w:cs="Arial"/>
      <w:b/>
      <w:bCs/>
      <w:i/>
      <w:iCs/>
      <w:color w:val="FF0000"/>
      <w:sz w:val="20"/>
      <w:szCs w:val="24"/>
      <w:u w:val="single"/>
      <w:lang w:eastAsia="pt-BR"/>
    </w:rPr>
  </w:style>
  <w:style w:type="paragraph" w:customStyle="1" w:styleId="69">
    <w:name w:val="ou"/>
    <w:basedOn w:val="60"/>
    <w:link w:val="68"/>
    <w:qFormat/>
    <w:uiPriority w:val="0"/>
    <w:pPr>
      <w:spacing w:before="60" w:after="60" w:line="259" w:lineRule="auto"/>
      <w:ind w:left="0"/>
      <w:contextualSpacing w:val="0"/>
      <w:jc w:val="center"/>
    </w:pPr>
    <w:rPr>
      <w:rFonts w:ascii="Arial" w:hAnsi="Arial" w:cs="Arial"/>
      <w:b/>
      <w:bCs/>
      <w:i/>
      <w:iCs/>
      <w:color w:val="FF0000"/>
      <w:sz w:val="20"/>
      <w:szCs w:val="24"/>
      <w:u w:val="single"/>
      <w:lang w:eastAsia="pt-BR"/>
    </w:rPr>
  </w:style>
  <w:style w:type="character" w:customStyle="1" w:styleId="70">
    <w:name w:val="Nível 3-R Char"/>
    <w:basedOn w:val="8"/>
    <w:link w:val="71"/>
    <w:qFormat/>
    <w:uiPriority w:val="0"/>
    <w:rPr>
      <w:rFonts w:ascii="Arial" w:hAnsi="Arial" w:cs="Arial" w:eastAsiaTheme="minorEastAsia"/>
      <w:i/>
      <w:iCs/>
      <w:color w:val="FF0000"/>
      <w:sz w:val="20"/>
      <w:szCs w:val="20"/>
      <w:lang w:eastAsia="pt-BR"/>
    </w:rPr>
  </w:style>
  <w:style w:type="paragraph" w:customStyle="1" w:styleId="71">
    <w:name w:val="Nível 3-R"/>
    <w:basedOn w:val="1"/>
    <w:link w:val="70"/>
    <w:qFormat/>
    <w:uiPriority w:val="0"/>
    <w:pPr>
      <w:numPr>
        <w:ilvl w:val="2"/>
        <w:numId w:val="3"/>
      </w:numPr>
      <w:spacing w:before="120" w:after="120"/>
      <w:ind w:left="284" w:firstLine="0"/>
      <w:jc w:val="both"/>
    </w:pPr>
    <w:rPr>
      <w:rFonts w:ascii="Arial" w:hAnsi="Arial" w:cs="Arial" w:eastAsiaTheme="minorEastAsia"/>
      <w:i/>
      <w:iCs/>
      <w:color w:val="FF0000"/>
      <w:sz w:val="20"/>
      <w:szCs w:val="20"/>
      <w:lang w:eastAsia="pt-BR"/>
    </w:rPr>
  </w:style>
  <w:style w:type="character" w:customStyle="1" w:styleId="72">
    <w:name w:val="SubTitNN Char"/>
    <w:basedOn w:val="8"/>
    <w:link w:val="73"/>
    <w:qFormat/>
    <w:uiPriority w:val="0"/>
    <w:rPr>
      <w:rFonts w:ascii="Arial" w:hAnsi="Arial" w:eastAsia="Times New Roman" w:cs="Arial"/>
      <w:b/>
      <w:bCs/>
      <w:iCs/>
      <w:sz w:val="20"/>
      <w:szCs w:val="20"/>
      <w:lang w:eastAsia="pt-BR"/>
    </w:rPr>
  </w:style>
  <w:style w:type="paragraph" w:customStyle="1" w:styleId="73">
    <w:name w:val="SubTitNN"/>
    <w:basedOn w:val="1"/>
    <w:link w:val="72"/>
    <w:qFormat/>
    <w:uiPriority w:val="0"/>
    <w:pPr>
      <w:spacing w:before="240" w:after="120"/>
      <w:jc w:val="both"/>
    </w:pPr>
    <w:rPr>
      <w:rFonts w:ascii="Arial" w:hAnsi="Arial" w:eastAsia="Times New Roman" w:cs="Arial"/>
      <w:b/>
      <w:bCs/>
      <w:iCs/>
      <w:sz w:val="20"/>
      <w:szCs w:val="20"/>
      <w:lang w:eastAsia="pt-BR"/>
    </w:rPr>
  </w:style>
  <w:style w:type="character" w:customStyle="1" w:styleId="74">
    <w:name w:val="Nível 3 Char"/>
    <w:basedOn w:val="70"/>
    <w:link w:val="75"/>
    <w:qFormat/>
    <w:uiPriority w:val="0"/>
    <w:rPr>
      <w:rFonts w:ascii="Arial" w:hAnsi="Arial" w:eastAsia="Times New Roman" w:cs="Arial"/>
      <w:i w:val="0"/>
      <w:iCs w:val="0"/>
      <w:color w:val="FF0000"/>
      <w:sz w:val="20"/>
      <w:szCs w:val="20"/>
      <w:lang w:eastAsia="pt-BR"/>
    </w:rPr>
  </w:style>
  <w:style w:type="paragraph" w:customStyle="1" w:styleId="75">
    <w:name w:val="Nível 3"/>
    <w:basedOn w:val="71"/>
    <w:link w:val="74"/>
    <w:qFormat/>
    <w:uiPriority w:val="0"/>
    <w:pPr>
      <w:numPr>
        <w:ilvl w:val="2"/>
        <w:numId w:val="4"/>
      </w:numPr>
      <w:ind w:left="284" w:firstLine="0"/>
    </w:pPr>
    <w:rPr>
      <w:rFonts w:eastAsia="Times New Roman"/>
      <w:i w:val="0"/>
      <w:iCs w:val="0"/>
    </w:rPr>
  </w:style>
  <w:style w:type="character" w:customStyle="1" w:styleId="76">
    <w:name w:val="Nível 4 Char"/>
    <w:basedOn w:val="74"/>
    <w:link w:val="77"/>
    <w:qFormat/>
    <w:uiPriority w:val="0"/>
    <w:rPr>
      <w:rFonts w:ascii="Arial" w:hAnsi="Arial" w:eastAsia="Times New Roman" w:cs="Arial"/>
      <w:color w:val="FF0000"/>
      <w:sz w:val="20"/>
      <w:szCs w:val="20"/>
      <w:lang w:eastAsia="pt-BR"/>
    </w:rPr>
  </w:style>
  <w:style w:type="paragraph" w:customStyle="1" w:styleId="77">
    <w:name w:val="Nível 4"/>
    <w:basedOn w:val="1"/>
    <w:link w:val="76"/>
    <w:qFormat/>
    <w:uiPriority w:val="0"/>
    <w:pPr>
      <w:numPr>
        <w:ilvl w:val="3"/>
        <w:numId w:val="3"/>
      </w:numPr>
      <w:spacing w:before="120" w:after="120"/>
      <w:ind w:left="567" w:firstLine="0"/>
      <w:jc w:val="both"/>
    </w:pPr>
    <w:rPr>
      <w:rFonts w:ascii="Arial" w:hAnsi="Arial" w:eastAsia="Times New Roman" w:cs="Arial"/>
      <w:sz w:val="20"/>
      <w:szCs w:val="20"/>
      <w:lang w:eastAsia="pt-BR"/>
    </w:rPr>
  </w:style>
  <w:style w:type="character" w:customStyle="1" w:styleId="78">
    <w:name w:val="markedcontent"/>
    <w:basedOn w:val="8"/>
    <w:qFormat/>
    <w:uiPriority w:val="0"/>
  </w:style>
  <w:style w:type="character" w:customStyle="1" w:styleId="79">
    <w:name w:val="highlight"/>
    <w:basedOn w:val="8"/>
    <w:qFormat/>
    <w:uiPriority w:val="0"/>
  </w:style>
  <w:style w:type="character" w:customStyle="1" w:styleId="80">
    <w:name w:val="Recuo de corpo de texto 2 Char"/>
    <w:basedOn w:val="8"/>
    <w:link w:val="25"/>
    <w:qFormat/>
    <w:uiPriority w:val="0"/>
    <w:rPr>
      <w:rFonts w:ascii="Arial Narrow" w:hAnsi="Arial Narrow" w:eastAsia="Times New Roman" w:cs="Times New Roman"/>
      <w:sz w:val="24"/>
      <w:szCs w:val="20"/>
      <w:lang w:eastAsia="pt-BR"/>
    </w:rPr>
  </w:style>
  <w:style w:type="character" w:customStyle="1" w:styleId="81">
    <w:name w:val="Corpo de texto Char"/>
    <w:basedOn w:val="8"/>
    <w:link w:val="20"/>
    <w:qFormat/>
    <w:uiPriority w:val="99"/>
  </w:style>
  <w:style w:type="character" w:customStyle="1" w:styleId="82">
    <w:name w:val="Nivel 3 Char"/>
    <w:basedOn w:val="8"/>
    <w:link w:val="83"/>
    <w:qFormat/>
    <w:uiPriority w:val="0"/>
    <w:rPr>
      <w:rFonts w:ascii="Arial" w:hAnsi="Arial" w:cs="Arial" w:eastAsiaTheme="minorEastAsia"/>
      <w:color w:val="000000"/>
      <w:sz w:val="20"/>
      <w:szCs w:val="20"/>
      <w:lang w:eastAsia="pt-BR"/>
    </w:rPr>
  </w:style>
  <w:style w:type="paragraph" w:customStyle="1" w:styleId="83">
    <w:name w:val="Nivel 3"/>
    <w:basedOn w:val="1"/>
    <w:link w:val="82"/>
    <w:qFormat/>
    <w:uiPriority w:val="0"/>
    <w:pPr>
      <w:spacing w:before="120" w:after="120"/>
      <w:ind w:left="284"/>
      <w:jc w:val="both"/>
    </w:pPr>
    <w:rPr>
      <w:rFonts w:ascii="Arial" w:hAnsi="Arial" w:cs="Arial" w:eastAsiaTheme="minorEastAsia"/>
      <w:color w:val="000000"/>
      <w:sz w:val="20"/>
      <w:szCs w:val="20"/>
      <w:lang w:eastAsia="pt-BR"/>
    </w:rPr>
  </w:style>
  <w:style w:type="character" w:customStyle="1" w:styleId="84">
    <w:name w:val="Nivel 4 Char"/>
    <w:basedOn w:val="8"/>
    <w:link w:val="85"/>
    <w:qFormat/>
    <w:uiPriority w:val="0"/>
    <w:rPr>
      <w:rFonts w:ascii="Arial" w:hAnsi="Arial" w:cs="Arial" w:eastAsiaTheme="minorEastAsia"/>
      <w:sz w:val="20"/>
      <w:szCs w:val="20"/>
      <w:lang w:eastAsia="pt-BR"/>
    </w:rPr>
  </w:style>
  <w:style w:type="paragraph" w:customStyle="1" w:styleId="85">
    <w:name w:val="Nivel 4"/>
    <w:basedOn w:val="83"/>
    <w:link w:val="84"/>
    <w:qFormat/>
    <w:uiPriority w:val="0"/>
    <w:pPr>
      <w:ind w:left="567"/>
    </w:pPr>
    <w:rPr>
      <w:color w:val="auto"/>
    </w:rPr>
  </w:style>
  <w:style w:type="character" w:customStyle="1" w:styleId="86">
    <w:name w:val="cf01"/>
    <w:basedOn w:val="8"/>
    <w:qFormat/>
    <w:uiPriority w:val="0"/>
    <w:rPr>
      <w:rFonts w:ascii="Segoe UI" w:hAnsi="Segoe UI" w:cs="Segoe UI"/>
      <w:sz w:val="18"/>
      <w:szCs w:val="18"/>
    </w:rPr>
  </w:style>
  <w:style w:type="character" w:customStyle="1" w:styleId="87">
    <w:name w:val="Título 4 Char"/>
    <w:basedOn w:val="8"/>
    <w:semiHidden/>
    <w:qFormat/>
    <w:uiPriority w:val="0"/>
    <w:rPr>
      <w:rFonts w:asciiTheme="majorHAnsi" w:hAnsiTheme="majorHAnsi" w:eastAsiaTheme="majorEastAsia" w:cstheme="majorBidi"/>
      <w:i/>
      <w:iCs/>
      <w:color w:val="366091" w:themeColor="accent1" w:themeShade="BF"/>
      <w:sz w:val="24"/>
      <w:szCs w:val="24"/>
      <w:lang w:eastAsia="pt-BR"/>
    </w:rPr>
  </w:style>
  <w:style w:type="character" w:customStyle="1" w:styleId="88">
    <w:name w:val="Título 6 Char"/>
    <w:basedOn w:val="8"/>
    <w:semiHidden/>
    <w:qFormat/>
    <w:uiPriority w:val="9"/>
    <w:rPr>
      <w:rFonts w:asciiTheme="majorHAnsi" w:hAnsiTheme="majorHAnsi" w:eastAsiaTheme="majorEastAsia" w:cstheme="majorBidi"/>
      <w:color w:val="243F61" w:themeColor="accent1" w:themeShade="7F"/>
    </w:rPr>
  </w:style>
  <w:style w:type="character" w:customStyle="1" w:styleId="89">
    <w:name w:val="normal__char1"/>
    <w:qFormat/>
    <w:uiPriority w:val="0"/>
    <w:rPr>
      <w:rFonts w:ascii="Arial" w:hAnsi="Arial" w:cs="Arial"/>
      <w:sz w:val="24"/>
      <w:szCs w:val="24"/>
      <w:u w:val="none"/>
    </w:rPr>
  </w:style>
  <w:style w:type="character" w:customStyle="1" w:styleId="90">
    <w:name w:val="apple-style-span"/>
    <w:basedOn w:val="8"/>
    <w:qFormat/>
    <w:uiPriority w:val="0"/>
  </w:style>
  <w:style w:type="character" w:customStyle="1" w:styleId="91">
    <w:name w:val="Citação Char"/>
    <w:basedOn w:val="8"/>
    <w:link w:val="92"/>
    <w:qFormat/>
    <w:uiPriority w:val="0"/>
    <w:rPr>
      <w:rFonts w:ascii="Arial" w:hAnsi="Arial" w:eastAsia="Calibri" w:cs="Tahoma"/>
      <w:i/>
      <w:iCs/>
      <w:color w:val="000000"/>
      <w:sz w:val="20"/>
      <w:szCs w:val="24"/>
      <w:shd w:val="clear" w:fill="FFFFCC"/>
    </w:rPr>
  </w:style>
  <w:style w:type="paragraph" w:styleId="92">
    <w:name w:val="Quote"/>
    <w:basedOn w:val="1"/>
    <w:next w:val="1"/>
    <w:link w:val="91"/>
    <w:qFormat/>
    <w:uiPriority w:val="0"/>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Arial" w:hAnsi="Arial" w:eastAsia="Calibri" w:cs="Tahoma"/>
      <w:i/>
      <w:iCs/>
      <w:color w:val="000000"/>
      <w:sz w:val="20"/>
      <w:szCs w:val="24"/>
    </w:rPr>
  </w:style>
  <w:style w:type="character" w:customStyle="1" w:styleId="93">
    <w:name w:val="Nota explicativa Char"/>
    <w:basedOn w:val="91"/>
    <w:link w:val="94"/>
    <w:qFormat/>
    <w:uiPriority w:val="0"/>
    <w:rPr>
      <w:rFonts w:ascii="Arial" w:hAnsi="Arial" w:eastAsia="Calibri" w:cs="Tahoma"/>
      <w:color w:val="000000"/>
      <w:sz w:val="20"/>
      <w:szCs w:val="20"/>
      <w:shd w:val="clear" w:fill="FFFFCC"/>
    </w:rPr>
  </w:style>
  <w:style w:type="paragraph" w:customStyle="1" w:styleId="94">
    <w:name w:val="Nota explicativa"/>
    <w:basedOn w:val="92"/>
    <w:link w:val="93"/>
    <w:qFormat/>
    <w:uiPriority w:val="0"/>
    <w:rPr>
      <w:szCs w:val="20"/>
    </w:rPr>
  </w:style>
  <w:style w:type="character" w:customStyle="1" w:styleId="95">
    <w:name w:val="Título Char"/>
    <w:basedOn w:val="8"/>
    <w:link w:val="26"/>
    <w:qFormat/>
    <w:uiPriority w:val="0"/>
    <w:rPr>
      <w:rFonts w:asciiTheme="majorHAnsi" w:hAnsiTheme="majorHAnsi" w:eastAsiaTheme="majorEastAsia" w:cstheme="majorBidi"/>
      <w:color w:val="17365D" w:themeColor="text2" w:themeShade="BF"/>
      <w:spacing w:val="5"/>
      <w:kern w:val="2"/>
      <w:sz w:val="52"/>
      <w:szCs w:val="52"/>
      <w:lang w:eastAsia="pt-BR"/>
    </w:rPr>
  </w:style>
  <w:style w:type="character" w:customStyle="1" w:styleId="96">
    <w:name w:val="Nivel 01 Char"/>
    <w:basedOn w:val="95"/>
    <w:link w:val="97"/>
    <w:qFormat/>
    <w:uiPriority w:val="0"/>
    <w:rPr>
      <w:rFonts w:ascii="Arial" w:hAnsi="Arial" w:cs="Arial" w:eastAsiaTheme="majorEastAsia"/>
      <w:b/>
      <w:bCs/>
      <w:color w:val="17365D" w:themeColor="text2" w:themeShade="BF"/>
      <w:spacing w:val="5"/>
      <w:kern w:val="2"/>
      <w:sz w:val="20"/>
      <w:szCs w:val="20"/>
      <w:lang w:eastAsia="pt-BR"/>
    </w:rPr>
  </w:style>
  <w:style w:type="paragraph" w:customStyle="1" w:styleId="97">
    <w:name w:val="Nivel 01"/>
    <w:basedOn w:val="2"/>
    <w:next w:val="1"/>
    <w:link w:val="96"/>
    <w:qFormat/>
    <w:uiPriority w:val="0"/>
    <w:pPr>
      <w:keepNext/>
      <w:keepLines/>
      <w:numPr>
        <w:ilvl w:val="0"/>
        <w:numId w:val="3"/>
      </w:numPr>
      <w:pBdr>
        <w:bottom w:val="none" w:color="auto" w:sz="0" w:space="0"/>
      </w:pBdr>
      <w:shd w:val="clear" w:color="auto" w:fill="auto"/>
      <w:tabs>
        <w:tab w:val="left" w:pos="567"/>
      </w:tabs>
      <w:spacing w:before="120" w:after="120" w:line="276" w:lineRule="auto"/>
      <w:ind w:left="0" w:firstLine="0"/>
      <w:textAlignment w:val="auto"/>
    </w:pPr>
    <w:rPr>
      <w:rFonts w:ascii="Arial" w:hAnsi="Arial" w:cs="Arial" w:eastAsiaTheme="majorEastAsia"/>
      <w:sz w:val="20"/>
      <w:szCs w:val="20"/>
      <w:lang w:eastAsia="en-US"/>
    </w:rPr>
  </w:style>
  <w:style w:type="character" w:customStyle="1" w:styleId="98">
    <w:name w:val="Nivel_01_Titulo Char"/>
    <w:basedOn w:val="96"/>
    <w:link w:val="99"/>
    <w:qFormat/>
    <w:uiPriority w:val="0"/>
    <w:rPr>
      <w:rFonts w:ascii="Arial" w:hAnsi="Arial" w:eastAsiaTheme="majorEastAsia" w:cstheme="majorBidi"/>
      <w:color w:val="000000" w:themeColor="text1"/>
      <w:spacing w:val="5"/>
      <w:kern w:val="2"/>
      <w:sz w:val="20"/>
      <w:szCs w:val="20"/>
      <w:lang w:eastAsia="pt-BR"/>
    </w:rPr>
  </w:style>
  <w:style w:type="paragraph" w:customStyle="1" w:styleId="99">
    <w:name w:val="Nivel_01_Titulo"/>
    <w:basedOn w:val="97"/>
    <w:link w:val="98"/>
    <w:qFormat/>
    <w:uiPriority w:val="0"/>
    <w:pPr>
      <w:numPr>
        <w:ilvl w:val="0"/>
        <w:numId w:val="4"/>
      </w:numPr>
      <w:spacing w:before="240" w:after="0" w:line="240" w:lineRule="auto"/>
      <w:ind w:left="0" w:firstLine="0"/>
      <w:jc w:val="left"/>
    </w:pPr>
    <w:rPr>
      <w:rFonts w:cstheme="majorBidi"/>
      <w:color w:val="000000" w:themeColor="text1"/>
      <w:spacing w:val="5"/>
      <w:kern w:val="2"/>
      <w:lang w:eastAsia="pt-BR"/>
    </w:rPr>
  </w:style>
  <w:style w:type="character" w:customStyle="1" w:styleId="100">
    <w:name w:val="Quote Char"/>
    <w:basedOn w:val="8"/>
    <w:link w:val="101"/>
    <w:qFormat/>
    <w:uiPriority w:val="0"/>
    <w:rPr>
      <w:rFonts w:ascii="Ecofont_Spranq_eco_Sans" w:hAnsi="Ecofont_Spranq_eco_Sans" w:eastAsia="Calibri" w:cs="Tahoma"/>
      <w:i/>
      <w:iCs/>
      <w:color w:val="000000"/>
      <w:shd w:val="clear" w:fill="FFFFCC"/>
    </w:rPr>
  </w:style>
  <w:style w:type="paragraph" w:customStyle="1" w:styleId="101">
    <w:name w:val="Citação1"/>
    <w:basedOn w:val="1"/>
    <w:next w:val="1"/>
    <w:link w:val="100"/>
    <w:qFormat/>
    <w:uiPriority w:val="0"/>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Ecofont_Spranq_eco_Sans" w:hAnsi="Ecofont_Spranq_eco_Sans" w:eastAsia="Calibri" w:cs="Tahoma"/>
      <w:i/>
      <w:iCs/>
      <w:color w:val="000000"/>
    </w:rPr>
  </w:style>
  <w:style w:type="character" w:customStyle="1" w:styleId="102">
    <w:name w:val="spellingerror"/>
    <w:basedOn w:val="8"/>
    <w:qFormat/>
    <w:uiPriority w:val="0"/>
  </w:style>
  <w:style w:type="character" w:customStyle="1" w:styleId="103">
    <w:name w:val="Nivel1 Char"/>
    <w:basedOn w:val="62"/>
    <w:link w:val="104"/>
    <w:qFormat/>
    <w:uiPriority w:val="0"/>
    <w:rPr>
      <w:rFonts w:ascii="Arial" w:hAnsi="Arial" w:cs="Arial" w:eastAsiaTheme="majorEastAsia"/>
      <w:bCs w:val="0"/>
      <w:color w:val="000000"/>
      <w:sz w:val="28"/>
      <w:szCs w:val="28"/>
      <w:shd w:val="clear" w:fill="BFBFBF"/>
      <w:lang w:eastAsia="pt-BR"/>
    </w:rPr>
  </w:style>
  <w:style w:type="paragraph" w:customStyle="1" w:styleId="104">
    <w:name w:val="Nivel1"/>
    <w:basedOn w:val="2"/>
    <w:link w:val="103"/>
    <w:qFormat/>
    <w:uiPriority w:val="0"/>
    <w:pPr>
      <w:keepNext/>
      <w:keepLines/>
      <w:numPr>
        <w:ilvl w:val="0"/>
        <w:numId w:val="0"/>
      </w:numPr>
      <w:pBdr>
        <w:bottom w:val="none" w:color="auto" w:sz="0" w:space="0"/>
      </w:pBdr>
      <w:shd w:val="clear" w:color="auto" w:fill="auto"/>
      <w:spacing w:before="480" w:after="0" w:line="276" w:lineRule="auto"/>
      <w:ind w:left="357" w:hanging="357"/>
      <w:textAlignment w:val="auto"/>
    </w:pPr>
    <w:rPr>
      <w:rFonts w:ascii="Arial" w:hAnsi="Arial" w:cs="Arial" w:eastAsiaTheme="majorEastAsia"/>
      <w:bCs w:val="0"/>
      <w:color w:val="000000"/>
      <w:sz w:val="28"/>
      <w:szCs w:val="28"/>
    </w:rPr>
  </w:style>
  <w:style w:type="character" w:customStyle="1" w:styleId="105">
    <w:name w:val="cp_0020corpodespacho__char1"/>
    <w:qFormat/>
    <w:uiPriority w:val="0"/>
    <w:rPr>
      <w:rFonts w:ascii="Times New Roman" w:hAnsi="Times New Roman" w:cs="Times New Roman"/>
      <w:sz w:val="26"/>
      <w:szCs w:val="26"/>
      <w:u w:val="none"/>
    </w:rPr>
  </w:style>
  <w:style w:type="character" w:customStyle="1" w:styleId="106">
    <w:name w:val="em_0020ementa__char1"/>
    <w:qFormat/>
    <w:uiPriority w:val="0"/>
    <w:rPr>
      <w:rFonts w:ascii="Times New Roman" w:hAnsi="Times New Roman" w:cs="Times New Roman"/>
      <w:sz w:val="28"/>
      <w:szCs w:val="28"/>
      <w:u w:val="none"/>
    </w:rPr>
  </w:style>
  <w:style w:type="character" w:customStyle="1" w:styleId="107">
    <w:name w:val="Manoel"/>
    <w:qFormat/>
    <w:uiPriority w:val="0"/>
    <w:rPr>
      <w:rFonts w:ascii="Arial" w:hAnsi="Arial" w:cs="Arial"/>
      <w:color w:val="7030A0"/>
      <w:sz w:val="20"/>
    </w:rPr>
  </w:style>
  <w:style w:type="character" w:customStyle="1" w:styleId="108">
    <w:name w:val="Grade Colorida - Ênfase 1 Char"/>
    <w:link w:val="109"/>
    <w:qFormat/>
    <w:uiPriority w:val="29"/>
    <w:rPr>
      <w:rFonts w:ascii="Arial" w:hAnsi="Arial" w:eastAsia="Calibri" w:cs="Times New Roman"/>
      <w:i/>
      <w:iCs/>
      <w:color w:val="000000"/>
      <w:sz w:val="20"/>
      <w:szCs w:val="24"/>
      <w:shd w:val="clear" w:fill="FFFFCC"/>
    </w:rPr>
  </w:style>
  <w:style w:type="paragraph" w:customStyle="1" w:styleId="109">
    <w:name w:val="Grade Colorida - Ênfase 11"/>
    <w:basedOn w:val="1"/>
    <w:next w:val="1"/>
    <w:link w:val="108"/>
    <w:qFormat/>
    <w:uiPriority w:val="29"/>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Arial" w:hAnsi="Arial" w:eastAsia="Calibri" w:cs="Times New Roman"/>
      <w:i/>
      <w:iCs/>
      <w:color w:val="000000"/>
      <w:sz w:val="20"/>
      <w:szCs w:val="24"/>
    </w:rPr>
  </w:style>
  <w:style w:type="character" w:customStyle="1" w:styleId="110">
    <w:name w:val="Menção Pendente1"/>
    <w:basedOn w:val="8"/>
    <w:semiHidden/>
    <w:unhideWhenUsed/>
    <w:qFormat/>
    <w:uiPriority w:val="99"/>
    <w:rPr>
      <w:color w:val="605E5C"/>
      <w:shd w:val="clear" w:fill="E1DFDD"/>
    </w:rPr>
  </w:style>
  <w:style w:type="character" w:customStyle="1" w:styleId="111">
    <w:name w:val="Menção Pendente2"/>
    <w:basedOn w:val="8"/>
    <w:semiHidden/>
    <w:unhideWhenUsed/>
    <w:qFormat/>
    <w:uiPriority w:val="99"/>
    <w:rPr>
      <w:color w:val="605E5C"/>
      <w:shd w:val="clear" w:fill="E1DFDD"/>
    </w:rPr>
  </w:style>
  <w:style w:type="character" w:customStyle="1" w:styleId="112">
    <w:name w:val="Nível 2 Opcional Char"/>
    <w:basedOn w:val="8"/>
    <w:link w:val="113"/>
    <w:qFormat/>
    <w:uiPriority w:val="0"/>
    <w:rPr>
      <w:rFonts w:ascii="Arial" w:hAnsi="Arial" w:eastAsia="Times New Roman" w:cs="Arial"/>
      <w:i/>
      <w:color w:val="FF0000"/>
      <w:sz w:val="20"/>
      <w:szCs w:val="20"/>
      <w:lang w:eastAsia="pt-BR"/>
    </w:rPr>
  </w:style>
  <w:style w:type="paragraph" w:customStyle="1" w:styleId="113">
    <w:name w:val="Nível 2 Opcional"/>
    <w:basedOn w:val="65"/>
    <w:link w:val="112"/>
    <w:qFormat/>
    <w:uiPriority w:val="0"/>
    <w:pPr>
      <w:numPr>
        <w:ilvl w:val="0"/>
        <w:numId w:val="0"/>
      </w:numPr>
      <w:ind w:left="432" w:hanging="432"/>
    </w:pPr>
    <w:rPr>
      <w:i/>
      <w:color w:val="FF0000"/>
    </w:rPr>
  </w:style>
  <w:style w:type="character" w:customStyle="1" w:styleId="114">
    <w:name w:val="Nível 3 Opcional Char"/>
    <w:basedOn w:val="8"/>
    <w:link w:val="115"/>
    <w:qFormat/>
    <w:uiPriority w:val="0"/>
    <w:rPr>
      <w:rFonts w:ascii="Arial" w:hAnsi="Arial" w:eastAsia="Times New Roman" w:cs="Arial"/>
      <w:i/>
      <w:iCs/>
      <w:color w:val="FF0000"/>
      <w:sz w:val="20"/>
      <w:szCs w:val="20"/>
      <w:lang w:eastAsia="pt-BR"/>
    </w:rPr>
  </w:style>
  <w:style w:type="paragraph" w:customStyle="1" w:styleId="115">
    <w:name w:val="Nível 3 Opcional"/>
    <w:basedOn w:val="83"/>
    <w:link w:val="114"/>
    <w:qFormat/>
    <w:uiPriority w:val="0"/>
    <w:pPr>
      <w:ind w:left="1072" w:hanging="504"/>
    </w:pPr>
    <w:rPr>
      <w:rFonts w:eastAsia="Times New Roman"/>
      <w:i/>
      <w:iCs/>
      <w:color w:val="FF0000"/>
    </w:rPr>
  </w:style>
  <w:style w:type="character" w:styleId="116">
    <w:name w:val="Placeholder Text"/>
    <w:basedOn w:val="8"/>
    <w:semiHidden/>
    <w:qFormat/>
    <w:uiPriority w:val="67"/>
    <w:rPr>
      <w:color w:val="808080"/>
    </w:rPr>
  </w:style>
  <w:style w:type="character" w:customStyle="1" w:styleId="117">
    <w:name w:val="Menção Pendente3"/>
    <w:basedOn w:val="8"/>
    <w:semiHidden/>
    <w:unhideWhenUsed/>
    <w:qFormat/>
    <w:uiPriority w:val="99"/>
    <w:rPr>
      <w:color w:val="605E5C"/>
      <w:shd w:val="clear" w:fill="E1DFDD"/>
    </w:rPr>
  </w:style>
  <w:style w:type="character" w:customStyle="1" w:styleId="118">
    <w:name w:val="Menção Pendente4"/>
    <w:basedOn w:val="8"/>
    <w:semiHidden/>
    <w:unhideWhenUsed/>
    <w:qFormat/>
    <w:uiPriority w:val="99"/>
    <w:rPr>
      <w:color w:val="605E5C"/>
      <w:shd w:val="clear" w:fill="E1DFDD"/>
    </w:rPr>
  </w:style>
  <w:style w:type="character" w:customStyle="1" w:styleId="119">
    <w:name w:val="Nível 4-R Char"/>
    <w:basedOn w:val="84"/>
    <w:link w:val="120"/>
    <w:qFormat/>
    <w:uiPriority w:val="0"/>
    <w:rPr>
      <w:rFonts w:ascii="Arial" w:hAnsi="Arial" w:cs="Arial" w:eastAsiaTheme="minorEastAsia"/>
      <w:i/>
      <w:iCs/>
      <w:color w:val="FF0000"/>
      <w:sz w:val="20"/>
      <w:szCs w:val="20"/>
      <w:lang w:eastAsia="pt-BR"/>
    </w:rPr>
  </w:style>
  <w:style w:type="paragraph" w:customStyle="1" w:styleId="120">
    <w:name w:val="Nível 4-R"/>
    <w:basedOn w:val="85"/>
    <w:link w:val="119"/>
    <w:qFormat/>
    <w:uiPriority w:val="0"/>
    <w:pPr>
      <w:numPr>
        <w:ilvl w:val="3"/>
        <w:numId w:val="4"/>
      </w:numPr>
      <w:ind w:left="567" w:firstLine="0"/>
    </w:pPr>
    <w:rPr>
      <w:i/>
      <w:iCs/>
      <w:color w:val="FF0000"/>
    </w:rPr>
  </w:style>
  <w:style w:type="character" w:customStyle="1" w:styleId="121">
    <w:name w:val="Nível 1-Sem Num Char"/>
    <w:basedOn w:val="96"/>
    <w:link w:val="122"/>
    <w:qFormat/>
    <w:uiPriority w:val="0"/>
    <w:rPr>
      <w:rFonts w:ascii="Arial" w:hAnsi="Arial" w:cs="Arial" w:eastAsiaTheme="majorEastAsia"/>
      <w:color w:val="17365D" w:themeColor="text2" w:themeShade="BF"/>
      <w:spacing w:val="5"/>
      <w:kern w:val="2"/>
      <w:sz w:val="20"/>
      <w:szCs w:val="20"/>
      <w:lang w:eastAsia="pt-BR"/>
    </w:rPr>
  </w:style>
  <w:style w:type="paragraph" w:customStyle="1" w:styleId="122">
    <w:name w:val="Nível 1-Sem Num"/>
    <w:basedOn w:val="97"/>
    <w:link w:val="121"/>
    <w:qFormat/>
    <w:uiPriority w:val="0"/>
    <w:pPr>
      <w:numPr>
        <w:ilvl w:val="0"/>
        <w:numId w:val="0"/>
      </w:numPr>
      <w:spacing w:before="240" w:after="0" w:line="240" w:lineRule="auto"/>
      <w:ind w:left="357" w:firstLine="0"/>
      <w:outlineLvl w:val="1"/>
    </w:pPr>
    <w:rPr>
      <w:color w:val="FF0000"/>
      <w:spacing w:val="5"/>
      <w:kern w:val="2"/>
      <w:lang w:eastAsia="pt-BR"/>
    </w:rPr>
  </w:style>
  <w:style w:type="character" w:customStyle="1" w:styleId="123">
    <w:name w:val="Preâmbulo Char"/>
    <w:basedOn w:val="8"/>
    <w:link w:val="124"/>
    <w:qFormat/>
    <w:uiPriority w:val="0"/>
    <w:rPr>
      <w:rFonts w:ascii="Arial" w:hAnsi="Arial" w:eastAsia="Arial" w:cs="Arial"/>
      <w:bCs/>
      <w:sz w:val="20"/>
      <w:szCs w:val="20"/>
      <w:lang w:eastAsia="pt-BR"/>
    </w:rPr>
  </w:style>
  <w:style w:type="paragraph" w:customStyle="1" w:styleId="124">
    <w:name w:val="Preâmbulo"/>
    <w:basedOn w:val="1"/>
    <w:link w:val="123"/>
    <w:qFormat/>
    <w:uiPriority w:val="0"/>
    <w:pPr>
      <w:spacing w:before="480" w:after="120" w:line="360" w:lineRule="auto"/>
      <w:ind w:left="4253" w:right="-17"/>
      <w:jc w:val="both"/>
    </w:pPr>
    <w:rPr>
      <w:rFonts w:ascii="Arial" w:hAnsi="Arial" w:eastAsia="Arial" w:cs="Arial"/>
      <w:bCs/>
      <w:sz w:val="20"/>
      <w:szCs w:val="20"/>
      <w:lang w:eastAsia="pt-BR"/>
    </w:rPr>
  </w:style>
  <w:style w:type="character" w:customStyle="1" w:styleId="125">
    <w:name w:val="Menção Pendente5"/>
    <w:basedOn w:val="8"/>
    <w:semiHidden/>
    <w:unhideWhenUsed/>
    <w:qFormat/>
    <w:uiPriority w:val="99"/>
    <w:rPr>
      <w:color w:val="605E5C"/>
      <w:shd w:val="clear" w:fill="E1DFDD"/>
    </w:rPr>
  </w:style>
  <w:style w:type="character" w:customStyle="1" w:styleId="126">
    <w:name w:val="Vínculo de índice"/>
    <w:qFormat/>
    <w:uiPriority w:val="0"/>
  </w:style>
  <w:style w:type="character" w:customStyle="1" w:styleId="127">
    <w:name w:val="WW8Num4z0"/>
    <w:qFormat/>
    <w:uiPriority w:val="0"/>
    <w:rPr>
      <w:rFonts w:ascii="Arial" w:hAnsi="Arial" w:eastAsia="Arial" w:cs="Arial"/>
      <w:b/>
      <w:bCs/>
      <w:color w:val="000000"/>
      <w:kern w:val="2"/>
      <w:sz w:val="30"/>
      <w:szCs w:val="28"/>
      <w:lang w:val="pt-BR" w:eastAsia="ar-SA"/>
    </w:rPr>
  </w:style>
  <w:style w:type="character" w:customStyle="1" w:styleId="128">
    <w:name w:val="Fonte parág. padrão1"/>
    <w:qFormat/>
    <w:uiPriority w:val="0"/>
  </w:style>
  <w:style w:type="character" w:customStyle="1" w:styleId="129">
    <w:name w:val="Fonte parág. padrão2"/>
    <w:qFormat/>
    <w:uiPriority w:val="0"/>
  </w:style>
  <w:style w:type="character" w:customStyle="1" w:styleId="130">
    <w:name w:val="Símbolos de numeração"/>
    <w:qFormat/>
    <w:uiPriority w:val="0"/>
  </w:style>
  <w:style w:type="character" w:customStyle="1" w:styleId="131">
    <w:name w:val="Marcadores"/>
    <w:qFormat/>
    <w:uiPriority w:val="0"/>
    <w:rPr>
      <w:rFonts w:ascii="OpenSymbol" w:hAnsi="OpenSymbol" w:eastAsia="OpenSymbol" w:cs="OpenSymbol"/>
    </w:rPr>
  </w:style>
  <w:style w:type="paragraph" w:customStyle="1" w:styleId="132">
    <w:name w:val="index heading1"/>
    <w:basedOn w:val="133"/>
    <w:qFormat/>
    <w:uiPriority w:val="0"/>
  </w:style>
  <w:style w:type="paragraph" w:customStyle="1" w:styleId="133">
    <w:name w:val="Título11"/>
    <w:basedOn w:val="1"/>
    <w:next w:val="20"/>
    <w:qFormat/>
    <w:uiPriority w:val="0"/>
    <w:pPr>
      <w:keepNext/>
      <w:spacing w:before="240" w:after="120"/>
    </w:pPr>
    <w:rPr>
      <w:rFonts w:ascii="Liberation Sans" w:hAnsi="Liberation Sans" w:eastAsia="Microsoft YaHei" w:cs="Arial"/>
      <w:sz w:val="28"/>
      <w:szCs w:val="28"/>
    </w:rPr>
  </w:style>
  <w:style w:type="paragraph" w:customStyle="1" w:styleId="134">
    <w:name w:val="Cabeçalho e Rodapé"/>
    <w:basedOn w:val="1"/>
    <w:qFormat/>
    <w:uiPriority w:val="0"/>
  </w:style>
  <w:style w:type="paragraph" w:customStyle="1" w:styleId="135">
    <w:name w:val="caption1"/>
    <w:basedOn w:val="1"/>
    <w:qFormat/>
    <w:uiPriority w:val="0"/>
    <w:pPr>
      <w:suppressLineNumbers/>
      <w:spacing w:before="120" w:after="120"/>
    </w:pPr>
    <w:rPr>
      <w:rFonts w:cs="Arial"/>
      <w:i/>
      <w:iCs/>
      <w:sz w:val="24"/>
      <w:szCs w:val="24"/>
    </w:rPr>
  </w:style>
  <w:style w:type="paragraph" w:customStyle="1" w:styleId="136">
    <w:name w:val="index heading11"/>
    <w:basedOn w:val="137"/>
    <w:qFormat/>
    <w:uiPriority w:val="0"/>
  </w:style>
  <w:style w:type="paragraph" w:customStyle="1" w:styleId="137">
    <w:name w:val="Título1"/>
    <w:basedOn w:val="1"/>
    <w:next w:val="20"/>
    <w:qFormat/>
    <w:uiPriority w:val="0"/>
    <w:pPr>
      <w:keepNext/>
      <w:spacing w:before="240" w:after="120"/>
    </w:pPr>
    <w:rPr>
      <w:rFonts w:ascii="Liberation Sans" w:hAnsi="Liberation Sans" w:eastAsia="Microsoft YaHei" w:cs="Arial"/>
      <w:sz w:val="28"/>
      <w:szCs w:val="28"/>
    </w:rPr>
  </w:style>
  <w:style w:type="paragraph" w:customStyle="1" w:styleId="138">
    <w:name w:val="caption11"/>
    <w:basedOn w:val="1"/>
    <w:qFormat/>
    <w:uiPriority w:val="0"/>
    <w:pPr>
      <w:suppressLineNumbers/>
      <w:spacing w:before="120" w:after="120"/>
    </w:pPr>
    <w:rPr>
      <w:rFonts w:cs="Arial"/>
      <w:i/>
      <w:iCs/>
      <w:sz w:val="24"/>
      <w:szCs w:val="24"/>
    </w:rPr>
  </w:style>
  <w:style w:type="paragraph" w:customStyle="1" w:styleId="139">
    <w:name w:val="Default"/>
    <w:qFormat/>
    <w:uiPriority w:val="0"/>
    <w:pPr>
      <w:widowControl/>
      <w:suppressAutoHyphens/>
      <w:bidi w:val="0"/>
      <w:spacing w:before="0" w:after="0" w:line="240" w:lineRule="auto"/>
      <w:jc w:val="left"/>
    </w:pPr>
    <w:rPr>
      <w:rFonts w:ascii="Calibri" w:hAnsi="Calibri" w:eastAsia="Times New Roman" w:cs="Calibri"/>
      <w:color w:val="000000"/>
      <w:kern w:val="0"/>
      <w:sz w:val="24"/>
      <w:szCs w:val="24"/>
      <w:lang w:val="pt-BR" w:eastAsia="pt-BR" w:bidi="ar-SA"/>
    </w:rPr>
  </w:style>
  <w:style w:type="paragraph" w:customStyle="1" w:styleId="140">
    <w:name w:val="TOC Heading"/>
    <w:basedOn w:val="2"/>
    <w:next w:val="1"/>
    <w:unhideWhenUsed/>
    <w:qFormat/>
    <w:uiPriority w:val="39"/>
    <w:pPr>
      <w:keepNext/>
      <w:keepLines/>
      <w:numPr>
        <w:ilvl w:val="0"/>
        <w:numId w:val="0"/>
      </w:numPr>
      <w:pBdr>
        <w:bottom w:val="none" w:color="auto" w:sz="0" w:space="0"/>
      </w:pBdr>
      <w:shd w:val="clear" w:color="auto" w:fill="auto"/>
      <w:spacing w:before="240" w:after="0" w:line="259" w:lineRule="auto"/>
      <w:jc w:val="left"/>
      <w:textAlignment w:val="auto"/>
      <w:outlineLvl w:val="9"/>
    </w:pPr>
    <w:rPr>
      <w:rFonts w:asciiTheme="majorHAnsi" w:hAnsiTheme="majorHAnsi" w:eastAsiaTheme="majorEastAsia" w:cstheme="majorBidi"/>
      <w:b w:val="0"/>
      <w:bCs w:val="0"/>
      <w:color w:val="366091" w:themeColor="accent1" w:themeShade="BF"/>
      <w:sz w:val="32"/>
      <w:szCs w:val="32"/>
    </w:rPr>
  </w:style>
  <w:style w:type="paragraph" w:customStyle="1" w:styleId="141">
    <w:name w:val="WW-Corpo de texto 2"/>
    <w:basedOn w:val="1"/>
    <w:qFormat/>
    <w:uiPriority w:val="0"/>
    <w:pPr>
      <w:suppressAutoHyphens/>
      <w:spacing w:before="0" w:after="0" w:line="200" w:lineRule="exact"/>
      <w:jc w:val="both"/>
    </w:pPr>
    <w:rPr>
      <w:rFonts w:ascii="Times New Roman" w:hAnsi="Times New Roman" w:eastAsia="Times New Roman" w:cs="Times New Roman"/>
      <w:sz w:val="20"/>
      <w:szCs w:val="20"/>
      <w:lang w:eastAsia="pt-BR"/>
    </w:rPr>
  </w:style>
  <w:style w:type="paragraph" w:customStyle="1" w:styleId="142">
    <w:name w:val="Nivel 5"/>
    <w:basedOn w:val="85"/>
    <w:qFormat/>
    <w:uiPriority w:val="0"/>
    <w:pPr>
      <w:ind w:left="1276"/>
    </w:pPr>
  </w:style>
  <w:style w:type="paragraph" w:customStyle="1" w:styleId="143">
    <w:name w:val="pf0"/>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44">
    <w:name w:val="Nível 2"/>
    <w:basedOn w:val="1"/>
    <w:next w:val="1"/>
    <w:qFormat/>
    <w:uiPriority w:val="0"/>
    <w:pPr>
      <w:spacing w:before="0" w:after="120" w:line="240" w:lineRule="auto"/>
      <w:jc w:val="both"/>
    </w:pPr>
    <w:rPr>
      <w:rFonts w:ascii="Arial" w:hAnsi="Arial" w:cs="Times New Roman" w:eastAsiaTheme="minorEastAsia"/>
      <w:b/>
      <w:sz w:val="24"/>
      <w:szCs w:val="20"/>
      <w:lang w:eastAsia="pt-BR"/>
    </w:rPr>
  </w:style>
  <w:style w:type="paragraph" w:customStyle="1" w:styleId="145">
    <w:name w:val="PADRÃO"/>
    <w:qFormat/>
    <w:uiPriority w:val="0"/>
    <w:pPr>
      <w:keepNext/>
      <w:widowControl w:val="0"/>
      <w:shd w:val="clear" w:color="auto" w:fill="FFFFFF"/>
      <w:suppressAutoHyphens/>
      <w:bidi w:val="0"/>
      <w:spacing w:before="119" w:after="119" w:line="276" w:lineRule="auto"/>
      <w:ind w:firstLine="567"/>
      <w:jc w:val="both"/>
      <w:textAlignment w:val="baseline"/>
    </w:pPr>
    <w:rPr>
      <w:rFonts w:ascii="Ecofont_Spranq_eco_Sans" w:hAnsi="Ecofont_Spranq_eco_Sans" w:eastAsia="WenQuanYi Micro Hei" w:cs="Lohit Hindi"/>
      <w:color w:val="auto"/>
      <w:kern w:val="0"/>
      <w:sz w:val="20"/>
      <w:szCs w:val="24"/>
      <w:lang w:val="pt-BR" w:eastAsia="zh-CN" w:bidi="hi-IN"/>
    </w:rPr>
  </w:style>
  <w:style w:type="paragraph" w:customStyle="1" w:styleId="146">
    <w:name w:val="Parágrafo da Lista1"/>
    <w:basedOn w:val="1"/>
    <w:qFormat/>
    <w:uiPriority w:val="0"/>
    <w:pPr>
      <w:spacing w:before="0" w:after="0" w:line="240" w:lineRule="auto"/>
      <w:ind w:left="720"/>
    </w:pPr>
    <w:rPr>
      <w:rFonts w:ascii="Ecofont_Spranq_eco_Sans" w:hAnsi="Ecofont_Spranq_eco_Sans" w:eastAsia="Times New Roman" w:cs="Ecofont_Spranq_eco_Sans"/>
      <w:sz w:val="24"/>
      <w:szCs w:val="24"/>
      <w:lang w:eastAsia="pt-BR"/>
    </w:rPr>
  </w:style>
  <w:style w:type="paragraph" w:customStyle="1" w:styleId="147">
    <w:name w:val="Nivel 1"/>
    <w:basedOn w:val="65"/>
    <w:next w:val="65"/>
    <w:qFormat/>
    <w:uiPriority w:val="0"/>
    <w:pPr>
      <w:numPr>
        <w:ilvl w:val="0"/>
        <w:numId w:val="0"/>
      </w:numPr>
      <w:ind w:left="360" w:hanging="360"/>
    </w:pPr>
    <w:rPr>
      <w:rFonts w:eastAsiaTheme="minorEastAsia"/>
      <w:b/>
      <w:color w:val="000000"/>
    </w:rPr>
  </w:style>
  <w:style w:type="paragraph" w:customStyle="1" w:styleId="148">
    <w:name w:val="textbody"/>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49">
    <w:name w:val="em_0020ementa"/>
    <w:basedOn w:val="1"/>
    <w:qFormat/>
    <w:uiPriority w:val="0"/>
    <w:pPr>
      <w:spacing w:before="0" w:after="0" w:line="240" w:lineRule="auto"/>
      <w:ind w:left="4160"/>
      <w:jc w:val="both"/>
    </w:pPr>
    <w:rPr>
      <w:rFonts w:ascii="Times New Roman" w:hAnsi="Times New Roman" w:eastAsia="Times New Roman" w:cs="Times New Roman"/>
      <w:sz w:val="28"/>
      <w:szCs w:val="28"/>
      <w:lang w:eastAsia="pt-BR"/>
    </w:rPr>
  </w:style>
  <w:style w:type="paragraph" w:customStyle="1" w:styleId="150">
    <w:name w:val="Revision"/>
    <w:semiHidden/>
    <w:qFormat/>
    <w:uiPriority w:val="99"/>
    <w:pPr>
      <w:widowControl/>
      <w:suppressAutoHyphens/>
      <w:bidi w:val="0"/>
      <w:spacing w:before="0" w:after="0" w:line="240" w:lineRule="auto"/>
      <w:jc w:val="left"/>
    </w:pPr>
    <w:rPr>
      <w:rFonts w:ascii="Ecofont_Spranq_eco_Sans" w:hAnsi="Ecofont_Spranq_eco_Sans" w:eastAsia="Times New Roman" w:cs="Tahoma"/>
      <w:color w:val="auto"/>
      <w:kern w:val="0"/>
      <w:sz w:val="24"/>
      <w:szCs w:val="24"/>
      <w:lang w:val="pt-BR" w:eastAsia="pt-BR" w:bidi="ar-SA"/>
    </w:rPr>
  </w:style>
  <w:style w:type="paragraph" w:customStyle="1" w:styleId="151">
    <w:name w:val="texto1"/>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2">
    <w:name w:val="x_western"/>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3">
    <w:name w:val="TCU - Ac - item 9 - §§_0"/>
    <w:basedOn w:val="1"/>
    <w:qFormat/>
    <w:uiPriority w:val="0"/>
    <w:pPr>
      <w:spacing w:before="0" w:after="0" w:line="240" w:lineRule="auto"/>
      <w:ind w:firstLine="1134"/>
      <w:jc w:val="both"/>
    </w:pPr>
    <w:rPr>
      <w:rFonts w:ascii="Times New Roman" w:hAnsi="Times New Roman" w:eastAsia="Times New Roman" w:cs="Times New Roman"/>
      <w:sz w:val="24"/>
    </w:rPr>
  </w:style>
  <w:style w:type="paragraph" w:customStyle="1" w:styleId="154">
    <w:name w:val="Normal_1"/>
    <w:qFormat/>
    <w:uiPriority w:val="0"/>
    <w:pPr>
      <w:widowControl/>
      <w:suppressAutoHyphens/>
      <w:bidi w:val="0"/>
      <w:spacing w:before="0" w:after="0" w:line="240" w:lineRule="auto"/>
      <w:jc w:val="left"/>
    </w:pPr>
    <w:rPr>
      <w:rFonts w:ascii="Times New Roman" w:hAnsi="Times New Roman" w:eastAsia="Times New Roman" w:cs="Times New Roman"/>
      <w:color w:val="auto"/>
      <w:kern w:val="0"/>
      <w:sz w:val="24"/>
      <w:szCs w:val="22"/>
      <w:lang w:val="pt-BR" w:eastAsia="en-US" w:bidi="ar-SA"/>
    </w:rPr>
  </w:style>
  <w:style w:type="paragraph" w:customStyle="1" w:styleId="155">
    <w:name w:val="tcu_-__ac_-_item_9_-_1ª_linh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6">
    <w:name w:val="texto_justificado_recuo_primeira_linh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7">
    <w:name w:val="texto_justificad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8">
    <w:name w:val="Sombreamento Médio 1 - Ênfase 31"/>
    <w:basedOn w:val="1"/>
    <w:next w:val="1"/>
    <w:qFormat/>
    <w:uiPriority w:val="0"/>
    <w:pPr>
      <w:pBdr>
        <w:top w:val="single" w:color="000080" w:sz="4" w:space="1"/>
        <w:left w:val="single" w:color="000080" w:sz="4" w:space="4"/>
        <w:bottom w:val="single" w:color="000080" w:sz="4" w:space="1"/>
        <w:right w:val="single" w:color="000080" w:sz="4" w:space="4"/>
      </w:pBdr>
      <w:shd w:val="clear" w:color="auto" w:fill="FFFFCC"/>
      <w:suppressAutoHyphens/>
      <w:spacing w:before="120" w:after="0" w:line="240" w:lineRule="auto"/>
      <w:jc w:val="both"/>
    </w:pPr>
    <w:rPr>
      <w:rFonts w:ascii="Ecofont_Spranq_eco_Sans" w:hAnsi="Ecofont_Spranq_eco_Sans" w:eastAsia="Calibri" w:cs="Tahoma"/>
      <w:i/>
      <w:iCs/>
      <w:color w:val="000000"/>
      <w:sz w:val="20"/>
      <w:szCs w:val="24"/>
      <w:lang w:eastAsia="zh-CN"/>
    </w:rPr>
  </w:style>
  <w:style w:type="paragraph" w:customStyle="1" w:styleId="159">
    <w:name w:val="corp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0">
    <w:name w:val="item_nivel2"/>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1">
    <w:name w:val="item_nivel1"/>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2">
    <w:name w:val="item_alinea_letr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3">
    <w:name w:val="Standard"/>
    <w:qFormat/>
    <w:uiPriority w:val="0"/>
    <w:pPr>
      <w:widowControl/>
      <w:suppressAutoHyphens/>
      <w:bidi w:val="0"/>
      <w:spacing w:before="0" w:after="0" w:line="240" w:lineRule="auto"/>
      <w:jc w:val="left"/>
    </w:pPr>
    <w:rPr>
      <w:rFonts w:ascii="Liberation Serif" w:hAnsi="Liberation Serif" w:eastAsia="NSimSun" w:cs="Lucida Sans"/>
      <w:color w:val="auto"/>
      <w:kern w:val="2"/>
      <w:sz w:val="24"/>
      <w:szCs w:val="24"/>
      <w:lang w:val="pt-BR" w:eastAsia="zh-CN" w:bidi="hi-IN"/>
    </w:rPr>
  </w:style>
  <w:style w:type="paragraph" w:customStyle="1" w:styleId="164">
    <w:name w:val="Text body"/>
    <w:basedOn w:val="163"/>
    <w:qFormat/>
    <w:uiPriority w:val="0"/>
    <w:pPr>
      <w:spacing w:before="0" w:after="140" w:line="276" w:lineRule="auto"/>
    </w:pPr>
  </w:style>
  <w:style w:type="paragraph" w:customStyle="1" w:styleId="165">
    <w:name w:val="dou-paragraph"/>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6">
    <w:name w:val="citação 2"/>
    <w:basedOn w:val="92"/>
    <w:qFormat/>
    <w:uiPriority w:val="0"/>
    <w:pPr>
      <w:overflowPunct w:val="0"/>
    </w:pPr>
    <w:rPr>
      <w:szCs w:val="20"/>
    </w:rPr>
  </w:style>
  <w:style w:type="paragraph" w:customStyle="1" w:styleId="167">
    <w:name w:val="tabela_texto_alinhado_esquerd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8">
    <w:name w:val="tabela_texto_8"/>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9">
    <w:name w:val="tabela_texto_centralizad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0">
    <w:name w:val="texto_centralizado_maiusculas"/>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1">
    <w:name w:val="Conteúdo da tabela"/>
    <w:basedOn w:val="1"/>
    <w:qFormat/>
    <w:uiPriority w:val="0"/>
    <w:pPr>
      <w:suppressAutoHyphens/>
    </w:pPr>
    <w:rPr>
      <w:lang w:eastAsia="ar-SA"/>
    </w:rPr>
  </w:style>
  <w:style w:type="paragraph" w:customStyle="1" w:styleId="172">
    <w:name w:val="Título de tabela"/>
    <w:basedOn w:val="171"/>
    <w:qFormat/>
    <w:uiPriority w:val="0"/>
    <w:pPr>
      <w:suppressLineNumbers/>
      <w:jc w:val="center"/>
    </w:pPr>
    <w:rPr>
      <w:b/>
      <w:bCs/>
    </w:rPr>
  </w:style>
  <w:style w:type="paragraph" w:customStyle="1" w:styleId="173">
    <w:name w:val="Table Paragraph"/>
    <w:basedOn w:val="1"/>
    <w:qFormat/>
    <w:uiPriority w:val="0"/>
  </w:style>
  <w:style w:type="paragraph" w:styleId="174">
    <w:name w:val="No Spacing"/>
    <w:qFormat/>
    <w:uiPriority w:val="0"/>
    <w:pPr>
      <w:widowControl/>
      <w:suppressAutoHyphens/>
      <w:bidi w:val="0"/>
      <w:spacing w:before="0" w:after="0" w:line="100" w:lineRule="atLeast"/>
      <w:jc w:val="left"/>
    </w:pPr>
    <w:rPr>
      <w:rFonts w:cs="Calibri" w:asciiTheme="minorHAnsi" w:hAnsiTheme="minorHAnsi" w:eastAsiaTheme="minorHAnsi"/>
      <w:color w:val="auto"/>
      <w:kern w:val="0"/>
      <w:sz w:val="22"/>
      <w:szCs w:val="22"/>
      <w:lang w:val="pt-BR" w:eastAsia="en-US" w:bidi="ar-SA"/>
    </w:rPr>
  </w:style>
  <w:style w:type="paragraph" w:customStyle="1" w:styleId="175">
    <w:name w:val="Sem Espaçamento"/>
    <w:qFormat/>
    <w:uiPriority w:val="0"/>
    <w:pPr>
      <w:widowControl/>
      <w:suppressAutoHyphens/>
      <w:bidi w:val="0"/>
      <w:spacing w:before="0" w:after="0" w:line="100" w:lineRule="atLeast"/>
      <w:jc w:val="left"/>
    </w:pPr>
    <w:rPr>
      <w:rFonts w:ascii="Times New Roman" w:hAnsi="Times New Roman" w:eastAsia="Liberation Serif" w:cs="Liberation Serif"/>
      <w:color w:val="auto"/>
      <w:kern w:val="0"/>
      <w:sz w:val="22"/>
      <w:szCs w:val="22"/>
      <w:lang w:val="pt-BR" w:eastAsia="hi-IN" w:bidi="ar-SA"/>
    </w:rPr>
  </w:style>
  <w:style w:type="paragraph" w:customStyle="1" w:styleId="176">
    <w:name w:val="western"/>
    <w:basedOn w:val="1"/>
    <w:qFormat/>
    <w:uiPriority w:val="0"/>
    <w:pPr>
      <w:widowControl/>
      <w:suppressAutoHyphens/>
      <w:spacing w:before="280" w:after="119"/>
    </w:pPr>
    <w:rPr>
      <w:rFonts w:ascii="Times New Roman" w:hAnsi="Times New Roman" w:eastAsia="Times New Roman" w:cs="Times New Roman"/>
      <w:sz w:val="24"/>
      <w:szCs w:val="24"/>
      <w:lang w:val="pt-BR" w:eastAsia="zh-CN"/>
    </w:rPr>
  </w:style>
  <w:style w:type="paragraph" w:customStyle="1" w:styleId="177">
    <w:name w:val="Título 21"/>
    <w:basedOn w:val="1"/>
    <w:qFormat/>
    <w:uiPriority w:val="0"/>
    <w:pPr>
      <w:numPr>
        <w:ilvl w:val="0"/>
        <w:numId w:val="0"/>
      </w:numPr>
      <w:ind w:left="476" w:hanging="285"/>
      <w:jc w:val="both"/>
      <w:outlineLvl w:val="1"/>
    </w:pPr>
    <w:rPr>
      <w:rFonts w:ascii="Tahoma" w:hAnsi="Tahoma" w:eastAsia="Times New Roman" w:cs="Tahoma"/>
      <w:b/>
      <w:bCs/>
      <w:lang w:val="pt-BR" w:eastAsia="pt-BR"/>
    </w:rPr>
  </w:style>
  <w:style w:type="table" w:customStyle="1" w:styleId="178">
    <w:name w:val="List Table 2"/>
    <w:basedOn w:val="9"/>
    <w:qFormat/>
    <w:uiPriority w:val="47"/>
    <w:pPr>
      <w:spacing w:after="0" w:line="240" w:lineRule="auto"/>
    </w:pPr>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9BCD0BBE5FF6A428B22A2C1997703AB" ma:contentTypeVersion="2" ma:contentTypeDescription="Crie um novo documento." ma:contentTypeScope="" ma:versionID="4849a99c89ee830415bf1e799923efdb">
  <xsd:schema xmlns:xsd="http://www.w3.org/2001/XMLSchema" xmlns:xs="http://www.w3.org/2001/XMLSchema" xmlns:p="http://schemas.microsoft.com/office/2006/metadata/properties" xmlns:ns2="6fc0d3f4-1f87-48e4-be3e-f6909f2f0919" targetNamespace="http://schemas.microsoft.com/office/2006/metadata/properties" ma:root="true" ma:fieldsID="55ffb4ea865a6613d550fea9559a6110" ns2:_="">
    <xsd:import namespace="6fc0d3f4-1f87-48e4-be3e-f6909f2f091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0d3f4-1f87-48e4-be3e-f6909f2f0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C04C24-93FC-4DC4-AA5D-F86104CE1FE2}">
  <ds:schemaRefs/>
</ds:datastoreItem>
</file>

<file path=customXml/itemProps2.xml><?xml version="1.0" encoding="utf-8"?>
<ds:datastoreItem xmlns:ds="http://schemas.openxmlformats.org/officeDocument/2006/customXml" ds:itemID="{89AF43AB-258F-46AE-84B1-DCEC811B5169}">
  <ds:schemaRefs/>
</ds:datastoreItem>
</file>

<file path=customXml/itemProps3.xml><?xml version="1.0" encoding="utf-8"?>
<ds:datastoreItem xmlns:ds="http://schemas.openxmlformats.org/officeDocument/2006/customXml" ds:itemID="{7E0CCFE8-B119-41DE-8C8E-2F3073DA7E25}">
  <ds:schemaRefs/>
</ds:datastoreItem>
</file>

<file path=customXml/itemProps4.xml><?xml version="1.0" encoding="utf-8"?>
<ds:datastoreItem xmlns:ds="http://schemas.openxmlformats.org/officeDocument/2006/customXml" ds:itemID="{781D5C72-3651-4138-9965-9B0CE3CCB50E}">
  <ds:schemaRefs/>
</ds:datastoreItem>
</file>

<file path=docProps/app.xml><?xml version="1.0" encoding="utf-8"?>
<Properties xmlns="http://schemas.openxmlformats.org/officeDocument/2006/extended-properties" xmlns:vt="http://schemas.openxmlformats.org/officeDocument/2006/docPropsVTypes">
  <Template>Normal.dotm</Template>
  <Pages>70</Pages>
  <Words>29810</Words>
  <Characters>165376</Characters>
  <Paragraphs>1569</Paragraphs>
  <TotalTime>9</TotalTime>
  <ScaleCrop>false</ScaleCrop>
  <LinksUpToDate>false</LinksUpToDate>
  <CharactersWithSpaces>192961</CharactersWithSpaces>
  <Application>WPS Office_12.2.0.13489_F1E327BC-269C-435d-A152-05C5408002CA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2023-08-29T13:09:00Z</dcterms:created>
  <dc:creator>Nilson</dc:creator>
  <cp:lastModifiedBy>Licitações e Contratos Câma</cp:lastModifiedBy>
  <cp:lastPrinted>2024-04-05T16:48:55Z</cp:lastPrinted>
  <dcterms:modified xsi:type="dcterms:W3CDTF">2024-04-05T17:08:02Z</dcterms:modified>
  <dc:title>Minuta Edital de Pregão - Serviços com SRP</dc:title>
  <cp:revision>1331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0x010100F9BCD0BBE5FF6A428B22A2C1997703AB</vt:lpwstr>
  </property>
  <property fmtid="{D5CDD505-2E9C-101B-9397-08002B2CF9AE}" pid="3" name="ICV">
    <vt:lpwstr>74057C4FAE744338ABF96E110D5224C4_12</vt:lpwstr>
  </property>
  <property fmtid="{D5CDD505-2E9C-101B-9397-08002B2CF9AE}" pid="4" name="KSOProductBuildVer">
    <vt:lpwstr>1046-12.2.0.13489</vt:lpwstr>
  </property>
</Properties>
</file>